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package.relationships+xml" PartName="/_rels/.rels"/>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package.relationships+xml" PartName="/word/_rels/document.xml.rels"/>
  <Override ContentType="application/vnd.openxmlformats-package.relationships+xml" PartName="/word/_rels/fontTable.xml.rels"/>
  <Override ContentType="application/vnd.openxmlformats-officedocument.wordprocessingml.document.main+xml" PartName="/word/document.xml"/>
  <Override ContentType="application/vnd.openxmlformats-officedocument.obfuscatedFont" PartName="/word/fonts/font1.odttf"/>
  <Override ContentType="application/vnd.openxmlformats-officedocument.obfuscatedFont" PartName="/word/fonts/font2.odttf"/>
  <Override ContentType="application/vnd.openxmlformats-officedocument.obfuscatedFont" PartName="/word/fonts/font3.odttf"/>
  <Override ContentType="application/vnd.openxmlformats-officedocument.obfuscatedFont" PartName="/word/fonts/font4.odttf"/>
  <Override ContentType="application/vnd.openxmlformats-officedocument.obfuscatedFont" PartName="/word/fonts/font5.odttf"/>
  <Override ContentType="application/vnd.openxmlformats-officedocument.obfuscatedFont" PartName="/word/fonts/font6.odttf"/>
  <Override ContentType="application/vnd.openxmlformats-officedocument.obfuscatedFont" PartName="/word/fonts/font7.odttf"/>
  <Override ContentType="application/vnd.openxmlformats-officedocument.obfuscatedFont" PartName="/word/fonts/font8.odttf"/>
  <Override ContentType="application/vnd.openxmlformats-officedocument.obfuscatedFont" PartName="/word/fonts/font9.odttf"/>
  <Override ContentType="application/vnd.openxmlformats-officedocument.obfuscatedFont" PartName="/word/fonts/font10.odttf"/>
  <Override ContentType="application/vnd.openxmlformats-officedocument.obfuscatedFont" PartName="/word/fonts/font11.odttf"/>
  <Override ContentType="application/vnd.openxmlformats-officedocument.obfuscatedFont" PartName="/word/fonts/font12.odttf"/>
  <Override ContentType="application/vnd.openxmlformats-officedocument.obfuscatedFont" PartName="/word/fonts/font13.odttf"/>
  <Override ContentType="application/vnd.openxmlformats-officedocument.obfuscatedFont" PartName="/word/fonts/font14.odttf"/>
  <Override ContentType="application/vnd.openxmlformats-officedocument.obfuscatedFont" PartName="/word/fonts/font15.odttf"/>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docProps/core.xml" Type="http://schemas.openxmlformats.org/package/2006/relationships/metadata/core-properties"/><Relationship Id="rId2" Target="docProps/app.xml" Type="http://schemas.openxmlformats.org/officeDocument/2006/relationships/extended-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240" w:after="80"/>
        <w:contextualSpacing/>
        <w:rPr>
          <w:rFonts w:ascii="Arial" w:hAnsi="Arial" w:cs="Arial"/>
        </w:rPr>
      </w:pPr>
      <w:r>
        <w:rPr>
          <w:rFonts w:cs="Arial"/>
        </w:rPr>
        <w:t>STAC67H3 F</w:t>
      </w:r>
    </w:p>
    <w:p>
      <w:pPr>
        <w:pStyle w:val="Subtitle"/>
        <w:rPr/>
      </w:pPr>
      <w:r>
        <w:rPr/>
        <w:t>Regression Analysis</w:t>
      </w:r>
    </w:p>
    <w:p>
      <w:pPr>
        <w:pStyle w:val="Normal"/>
        <w:rPr/>
      </w:pPr>
      <w:r>
        <w:rPr>
          <w:rStyle w:val="SubtitleChar"/>
          <w:rFonts w:cs="Arial"/>
          <w:bCs/>
          <w:color w:val="auto"/>
        </w:rPr>
        <w:t>Fall 2026 Syllabus</w:t>
      </w:r>
    </w:p>
    <w:p>
      <w:pPr>
        <w:pStyle w:val="Heading2"/>
        <w:rPr/>
      </w:pPr>
      <w:r>
        <w:rPr/>
        <w:t>Course Meetings</w:t>
      </w:r>
    </w:p>
    <w:p>
      <w:pPr>
        <w:pStyle w:val="Heading3"/>
        <w:spacing w:before="0" w:after="120"/>
        <w:rPr>
          <w:szCs w:val="24"/>
        </w:rPr>
      </w:pPr>
      <w:r>
        <w:rPr>
          <w:szCs w:val="24"/>
        </w:rPr>
        <w:t>STAC67H3 F</w:t>
      </w:r>
    </w:p>
    <w:tbl>
      <w:tblPr>
        <w:tblW w:w="5000" w:type="pct"/>
        <w:jc w:val="left"/>
        <w:tblInd w:w="-5" w:type="dxa"/>
        <w:tblLayout w:type="fixed"/>
        <w:tblCellMar>
          <w:top w:w="0" w:type="dxa"/>
          <w:left w:w="108" w:type="dxa"/>
          <w:bottom w:w="0" w:type="dxa"/>
          <w:right w:w="108" w:type="dxa"/>
        </w:tblCellMar>
      </w:tblPr>
      <w:tblGrid>
        <w:gridCol w:w="1401"/>
        <w:gridCol w:w="3932"/>
        <w:gridCol w:w="4027"/>
      </w:tblGrid>
      <w:tr>
        <w:trPr>
          <w:tblHeader w:val="true"/>
          <w:trHeight w:val="20" w:hRule="atLeast"/>
          <w:cantSplit w:val="true"/>
        </w:trPr>
        <w:tc>
          <w:tcPr>
            <w:tcW w:w="1401"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20"/>
                <w:tab w:val="right" w:pos="2052" w:leader="none"/>
              </w:tabs>
              <w:spacing w:lineRule="auto" w:line="240" w:before="0" w:after="0"/>
              <w:rPr>
                <w:rFonts w:ascii="Arial" w:hAnsi="Arial" w:eastAsia="Arial" w:cs="Arial"/>
                <w:b/>
                <w:bCs/>
              </w:rPr>
            </w:pPr>
            <w:r>
              <w:rPr>
                <w:rFonts w:eastAsia="Arial" w:cs="Arial"/>
                <w:b/>
                <w:bCs/>
              </w:rPr>
              <w:t>Section</w:t>
            </w:r>
          </w:p>
        </w:tc>
        <w:tc>
          <w:tcPr>
            <w:tcW w:w="3932" w:type="dxa"/>
            <w:tcBorders>
              <w:top w:val="single" w:sz="4" w:space="0" w:color="BFBFBF"/>
              <w:left w:val="single" w:sz="4" w:space="0" w:color="BFBFBF"/>
              <w:bottom w:val="single" w:sz="4" w:space="0" w:color="BFBFBF"/>
              <w:right w:val="single" w:sz="4" w:space="0" w:color="BFBFBF"/>
            </w:tcBorders>
          </w:tcPr>
          <w:p>
            <w:pPr>
              <w:pStyle w:val="Normal"/>
              <w:widowControl w:val="false"/>
              <w:spacing w:lineRule="auto" w:line="240" w:before="0" w:after="0"/>
              <w:rPr>
                <w:rFonts w:ascii="Arial" w:hAnsi="Arial" w:eastAsia="Arial" w:cs="Arial"/>
                <w:b/>
                <w:bCs/>
              </w:rPr>
            </w:pPr>
            <w:r>
              <w:rPr>
                <w:rFonts w:eastAsia="Arial" w:cs="Arial"/>
                <w:b/>
                <w:bCs/>
              </w:rPr>
              <w:t>Day &amp; Time</w:t>
            </w:r>
          </w:p>
        </w:tc>
        <w:tc>
          <w:tcPr>
            <w:tcW w:w="4027" w:type="dxa"/>
            <w:tcBorders>
              <w:top w:val="single" w:sz="4" w:space="0" w:color="BFBFBF"/>
              <w:left w:val="single" w:sz="4" w:space="0" w:color="BFBFBF"/>
              <w:bottom w:val="single" w:sz="4" w:space="0" w:color="BFBFBF"/>
              <w:right w:val="single" w:sz="4" w:space="0" w:color="BFBFBF"/>
            </w:tcBorders>
          </w:tcPr>
          <w:p>
            <w:pPr>
              <w:pStyle w:val="Normal"/>
              <w:widowControl w:val="false"/>
              <w:spacing w:lineRule="auto" w:line="240" w:before="0" w:after="0"/>
              <w:rPr>
                <w:rFonts w:ascii="Arial" w:hAnsi="Arial" w:eastAsia="Arial" w:cs="Arial"/>
                <w:b/>
                <w:bCs/>
              </w:rPr>
            </w:pPr>
            <w:r>
              <w:rPr>
                <w:rFonts w:eastAsia="Arial" w:cs="Arial"/>
                <w:b/>
                <w:bCs/>
              </w:rPr>
              <w:t>Delivery Mode &amp; Location</w:t>
            </w:r>
          </w:p>
        </w:tc>
      </w:tr>
      <w:tr>
        <w:trPr>
          <w:trHeight w:val="274" w:hRule="atLeast"/>
          <w:cantSplit w:val="true"/>
        </w:trPr>
        <w:tc>
          <w:tcPr>
            <w:tcW w:w="1401" w:type="dxa"/>
            <w:tcBorders>
              <w:top w:val="single" w:sz="4" w:space="0" w:color="BFBFBF"/>
              <w:left w:val="single" w:sz="4" w:space="0" w:color="BFBFBF"/>
              <w:bottom w:val="single" w:sz="4" w:space="0" w:color="BFBFBF"/>
              <w:right w:val="single" w:sz="4" w:space="0" w:color="BFBFBF"/>
            </w:tcBorders>
          </w:tcPr>
          <w:p>
            <w:pPr>
              <w:pStyle w:val="TextBody"/>
              <w:spacing w:lineRule="auto" w:line="276" w:before="0" w:after="140"/>
              <w:rPr/>
            </w:pPr>
            <w:r>
              <w:rPr>
                <w:rStyle w:val="StrongEmphasis"/>
              </w:rPr>
              <w:t>LEC01</w:t>
            </w:r>
          </w:p>
        </w:tc>
        <w:tc>
          <w:tcPr>
            <w:tcW w:w="3932" w:type="dxa"/>
            <w:tcBorders>
              <w:top w:val="single" w:sz="4" w:space="0" w:color="BFBFBF"/>
              <w:left w:val="single" w:sz="4" w:space="0" w:color="BFBFBF"/>
              <w:bottom w:val="single" w:sz="4" w:space="0" w:color="BFBFBF"/>
              <w:right w:val="single" w:sz="4" w:space="0" w:color="BFBFBF"/>
            </w:tcBorders>
          </w:tcPr>
          <w:p>
            <w:pPr>
              <w:pStyle w:val="TextBody"/>
              <w:spacing w:lineRule="auto" w:line="276" w:before="0" w:after="140"/>
              <w:rPr/>
            </w:pPr>
            <w:r>
              <w:rPr/>
              <w:t>Wednesday, 4:00 PM - 5:00 PM</w:t>
              <w:br/>
              <w:t>Friday, 1:00 PM - 3:00 PM</w:t>
            </w:r>
          </w:p>
        </w:tc>
        <w:tc>
          <w:tcPr>
            <w:tcW w:w="4027" w:type="dxa"/>
            <w:tcBorders>
              <w:top w:val="single" w:sz="4" w:space="0" w:color="BFBFBF"/>
              <w:left w:val="single" w:sz="4" w:space="0" w:color="BFBFBF"/>
              <w:bottom w:val="single" w:sz="4" w:space="0" w:color="BFBFBF"/>
              <w:right w:val="single" w:sz="4" w:space="0" w:color="BFBFBF"/>
            </w:tcBorders>
          </w:tcPr>
          <w:p>
            <w:pPr>
              <w:pStyle w:val="TextBody"/>
              <w:spacing w:lineRule="auto" w:line="276" w:before="0" w:after="140"/>
              <w:rPr/>
            </w:pPr>
            <w:r>
              <w:rPr/>
              <w:t>In Person: IA 2021</w:t>
              <w:br/>
              <w:t>In Person: IA 2021</w:t>
            </w:r>
          </w:p>
        </w:tc>
      </w:tr>
      <w:tr>
        <w:trPr>
          <w:trHeight w:val="269" w:hRule="atLeast"/>
          <w:cantSplit w:val="true"/>
        </w:trPr>
        <w:tc>
          <w:tcPr>
            <w:tcW w:w="1401" w:type="dxa"/>
            <w:tcBorders>
              <w:top w:val="single" w:sz="4" w:space="0" w:color="BFBFBF"/>
              <w:left w:val="single" w:sz="4" w:space="0" w:color="BFBFBF"/>
              <w:bottom w:val="single" w:sz="4" w:space="0" w:color="BFBFBF"/>
              <w:right w:val="single" w:sz="4" w:space="0" w:color="BFBFBF"/>
            </w:tcBorders>
          </w:tcPr>
          <w:p>
            <w:pPr>
              <w:pStyle w:val="TextBody"/>
              <w:spacing w:lineRule="auto" w:line="276" w:before="0" w:after="140"/>
              <w:rPr/>
            </w:pPr>
            <w:r>
              <w:rPr>
                <w:rStyle w:val="StrongEmphasis"/>
              </w:rPr>
              <w:t>TUT0001</w:t>
            </w:r>
          </w:p>
        </w:tc>
        <w:tc>
          <w:tcPr>
            <w:tcW w:w="3932" w:type="dxa"/>
            <w:tcBorders>
              <w:top w:val="single" w:sz="4" w:space="0" w:color="BFBFBF"/>
              <w:left w:val="single" w:sz="4" w:space="0" w:color="BFBFBF"/>
              <w:bottom w:val="single" w:sz="4" w:space="0" w:color="BFBFBF"/>
              <w:right w:val="single" w:sz="4" w:space="0" w:color="BFBFBF"/>
            </w:tcBorders>
          </w:tcPr>
          <w:p>
            <w:pPr>
              <w:pStyle w:val="TextBody"/>
              <w:spacing w:lineRule="auto" w:line="276" w:before="0" w:after="140"/>
              <w:rPr/>
            </w:pPr>
            <w:r>
              <w:rPr/>
              <w:t>Tuesday, 5:00 PM - 6:00 PM</w:t>
            </w:r>
          </w:p>
        </w:tc>
        <w:tc>
          <w:tcPr>
            <w:tcW w:w="4027" w:type="dxa"/>
            <w:tcBorders>
              <w:top w:val="single" w:sz="4" w:space="0" w:color="BFBFBF"/>
              <w:left w:val="single" w:sz="4" w:space="0" w:color="BFBFBF"/>
              <w:bottom w:val="single" w:sz="4" w:space="0" w:color="BFBFBF"/>
              <w:right w:val="single" w:sz="4" w:space="0" w:color="BFBFBF"/>
            </w:tcBorders>
          </w:tcPr>
          <w:p>
            <w:pPr>
              <w:pStyle w:val="TextBody"/>
              <w:spacing w:lineRule="auto" w:line="276" w:before="0" w:after="140"/>
              <w:rPr/>
            </w:pPr>
            <w:r>
              <w:rPr/>
              <w:t>In Person: IA 3120</w:t>
            </w:r>
          </w:p>
        </w:tc>
      </w:tr>
      <w:tr>
        <w:trPr>
          <w:trHeight w:val="269" w:hRule="atLeast"/>
          <w:cantSplit w:val="true"/>
        </w:trPr>
        <w:tc>
          <w:tcPr>
            <w:tcW w:w="1401" w:type="dxa"/>
            <w:tcBorders>
              <w:top w:val="single" w:sz="4" w:space="0" w:color="BFBFBF"/>
              <w:left w:val="single" w:sz="4" w:space="0" w:color="BFBFBF"/>
              <w:bottom w:val="single" w:sz="4" w:space="0" w:color="BFBFBF"/>
              <w:right w:val="single" w:sz="4" w:space="0" w:color="BFBFBF"/>
            </w:tcBorders>
          </w:tcPr>
          <w:p>
            <w:pPr>
              <w:pStyle w:val="TextBody"/>
              <w:spacing w:lineRule="auto" w:line="276" w:before="0" w:after="140"/>
              <w:rPr/>
            </w:pPr>
            <w:r>
              <w:rPr>
                <w:rStyle w:val="StrongEmphasis"/>
              </w:rPr>
              <w:t>TUT0002</w:t>
            </w:r>
          </w:p>
        </w:tc>
        <w:tc>
          <w:tcPr>
            <w:tcW w:w="3932" w:type="dxa"/>
            <w:tcBorders>
              <w:top w:val="single" w:sz="4" w:space="0" w:color="BFBFBF"/>
              <w:left w:val="single" w:sz="4" w:space="0" w:color="BFBFBF"/>
              <w:bottom w:val="single" w:sz="4" w:space="0" w:color="BFBFBF"/>
              <w:right w:val="single" w:sz="4" w:space="0" w:color="BFBFBF"/>
            </w:tcBorders>
          </w:tcPr>
          <w:p>
            <w:pPr>
              <w:pStyle w:val="TextBody"/>
              <w:spacing w:lineRule="auto" w:line="276" w:before="0" w:after="140"/>
              <w:rPr/>
            </w:pPr>
            <w:r>
              <w:rPr/>
              <w:t>Wednesday, 3:00 PM - 4:00 PM</w:t>
            </w:r>
          </w:p>
        </w:tc>
        <w:tc>
          <w:tcPr>
            <w:tcW w:w="4027" w:type="dxa"/>
            <w:tcBorders>
              <w:top w:val="single" w:sz="4" w:space="0" w:color="BFBFBF"/>
              <w:left w:val="single" w:sz="4" w:space="0" w:color="BFBFBF"/>
              <w:bottom w:val="single" w:sz="4" w:space="0" w:color="BFBFBF"/>
              <w:right w:val="single" w:sz="4" w:space="0" w:color="BFBFBF"/>
            </w:tcBorders>
          </w:tcPr>
          <w:p>
            <w:pPr>
              <w:pStyle w:val="TextBody"/>
              <w:spacing w:lineRule="auto" w:line="276" w:before="0" w:after="140"/>
              <w:rPr/>
            </w:pPr>
            <w:r>
              <w:rPr/>
              <w:t>In Person: IC 208</w:t>
            </w:r>
          </w:p>
        </w:tc>
      </w:tr>
    </w:tbl>
    <w:p>
      <w:pPr>
        <w:pStyle w:val="Normal"/>
        <w:spacing w:before="0" w:after="0"/>
        <w:rPr>
          <w:rFonts w:ascii="Arial" w:hAnsi="Arial" w:cs="Arial"/>
          <w:color w:val="000000"/>
          <w:shd w:fill="FFFFFF" w:val="clear"/>
        </w:rPr>
      </w:pPr>
      <w:r>
        <w:rPr>
          <w:rFonts w:cs="Arial"/>
          <w:color w:val="000000"/>
          <w:shd w:fill="FFFFFF" w:val="clear"/>
        </w:rPr>
        <w:t>Refer to ACORN for the most up-to-date information about the location of the course meetings.</w:t>
      </w:r>
    </w:p>
    <w:p>
      <w:pPr>
        <w:pStyle w:val="Normal"/>
        <w:spacing w:before="0" w:after="0"/>
        <w:rPr>
          <w:rFonts w:ascii="Arial" w:hAnsi="Arial" w:cs="Arial"/>
          <w:color w:val="000000"/>
          <w:shd w:fill="FFFFFF" w:val="clear"/>
        </w:rPr>
      </w:pPr>
      <w:r>
        <w:rPr>
          <w:rFonts w:cs="Arial"/>
          <w:color w:val="000000"/>
          <w:shd w:fill="FFFFFF" w:val="clear"/>
        </w:rPr>
      </w:r>
    </w:p>
    <w:p>
      <w:pPr>
        <w:pStyle w:val="TextBody"/>
        <w:rPr/>
      </w:pPr>
      <w:r>
        <w:rPr/>
        <w:t>Tutorials start on the second week.</w:t>
      </w:r>
    </w:p>
    <w:p>
      <w:pPr>
        <w:pStyle w:val="TextBody"/>
        <w:rPr/>
      </w:pPr>
      <w:r>
        <w:rPr/>
        <w:t>Students are expected to attend the weekly tutorial to gain practical R programming experience.</w:t>
      </w:r>
    </w:p>
    <w:p>
      <w:pPr>
        <w:pStyle w:val="TextBody"/>
        <w:rPr/>
      </w:pPr>
      <w:r>
        <w:rPr/>
        <w:t>Quizzes will be conducted in tutorial.</w:t>
      </w:r>
    </w:p>
    <w:p>
      <w:pPr>
        <w:pStyle w:val="Heading2"/>
        <w:rPr/>
      </w:pPr>
      <w:r>
        <w:rPr/>
        <w:t>Course Contacts</w:t>
      </w:r>
    </w:p>
    <w:p>
      <w:pPr>
        <w:pStyle w:val="Normal"/>
        <w:tabs>
          <w:tab w:val="clear" w:pos="720"/>
          <w:tab w:val="left" w:pos="2268" w:leader="none"/>
        </w:tabs>
        <w:spacing w:before="0" w:after="0"/>
        <w:rPr/>
      </w:pPr>
      <w:r>
        <w:rPr>
          <w:rFonts w:cs="Arial"/>
          <w:b/>
          <w:bCs/>
        </w:rPr>
        <w:t>Course Website:</w:t>
      </w:r>
      <w:r>
        <w:rPr>
          <w:rFonts w:cs="Arial"/>
        </w:rPr>
        <w:t xml:space="preserve"> </w:t>
      </w:r>
      <w:hyperlink r:id="rId2">
        <w:r>
          <w:rPr>
            <w:rStyle w:val="InternetLink"/>
            <w:rFonts w:cs="Arial"/>
          </w:rPr>
          <w:t>https://q.utoronto.ca/courses/464507</w:t>
        </w:r>
      </w:hyperlink>
    </w:p>
    <w:p>
      <w:pPr>
        <w:pStyle w:val="Normal"/>
        <w:tabs>
          <w:tab w:val="clear" w:pos="720"/>
          <w:tab w:val="left" w:pos="2268" w:leader="none"/>
        </w:tabs>
        <w:spacing w:before="0" w:after="0"/>
        <w:rPr>
          <w:rFonts w:cs="Arial"/>
          <w:color w:val="00B0F0"/>
          <w:u w:val="single"/>
        </w:rPr>
      </w:pPr>
      <w:r>
        <w:rPr>
          <w:rFonts w:cs="Arial"/>
          <w:color w:val="00B0F0"/>
          <w:u w:val="single"/>
        </w:rPr>
      </w:r>
    </w:p>
    <w:p>
      <w:pPr>
        <w:pStyle w:val="Normal"/>
        <w:spacing w:before="0" w:after="0"/>
        <w:rPr/>
      </w:pPr>
      <w:r>
        <w:rPr>
          <w:rFonts w:cs="Arial"/>
          <w:b/>
        </w:rPr>
        <w:t xml:space="preserve">Instructor: </w:t>
      </w:r>
      <w:r>
        <w:rPr>
          <w:rFonts w:cs="Arial"/>
        </w:rPr>
        <w:t>Pr. Thibault Randrianarisoa</w:t>
      </w:r>
    </w:p>
    <w:p>
      <w:pPr>
        <w:pStyle w:val="Normal"/>
        <w:spacing w:before="0" w:after="0"/>
        <w:rPr/>
      </w:pPr>
      <w:r>
        <w:rPr>
          <w:rFonts w:cs="Arial"/>
          <w:b/>
        </w:rPr>
        <w:t>Email:</w:t>
      </w:r>
      <w:r>
        <w:rPr>
          <w:rFonts w:cs="Arial"/>
        </w:rPr>
        <w:t xml:space="preserve"> </w:t>
      </w:r>
      <w:hyperlink r:id="rId3">
        <w:r>
          <w:rPr>
            <w:rStyle w:val="InternetLink"/>
          </w:rPr>
          <w:t>t.randrianarisoa@utoronto.ca</w:t>
        </w:r>
      </w:hyperlink>
    </w:p>
    <w:p>
      <w:pPr>
        <w:pStyle w:val="Normal"/>
        <w:tabs>
          <w:tab w:val="clear" w:pos="720"/>
          <w:tab w:val="left" w:pos="2268" w:leader="none"/>
        </w:tabs>
        <w:spacing w:before="0" w:after="0"/>
        <w:rPr/>
      </w:pPr>
      <w:r>
        <w:rPr>
          <w:rFonts w:cs="Arial"/>
          <w:b/>
        </w:rPr>
        <w:t xml:space="preserve">Phone: </w:t>
      </w:r>
      <w:r>
        <w:rPr>
          <w:rFonts w:cs="Arial"/>
          <w:bCs/>
        </w:rPr>
        <w:t>416-208-5106</w:t>
      </w:r>
    </w:p>
    <w:p>
      <w:pPr>
        <w:pStyle w:val="Normal"/>
        <w:tabs>
          <w:tab w:val="clear" w:pos="720"/>
          <w:tab w:val="left" w:pos="2268" w:leader="none"/>
        </w:tabs>
        <w:spacing w:before="0" w:after="0"/>
        <w:rPr/>
      </w:pPr>
      <w:r>
        <w:rPr>
          <w:rFonts w:cs="Arial"/>
          <w:b/>
        </w:rPr>
        <w:t>Office Hours and Location:</w:t>
      </w:r>
      <w:r>
        <w:rPr>
          <w:rFonts w:cs="Arial"/>
        </w:rPr>
        <w:t xml:space="preserve"> </w:t>
      </w:r>
      <w:r>
        <w:rPr/>
        <w:t>Wednesdays 10 am - 11 am and Friday 3 pm - 4 pm Location: IA 4064</w:t>
      </w:r>
    </w:p>
    <w:p>
      <w:pPr>
        <w:pStyle w:val="Normal"/>
        <w:spacing w:before="0" w:after="0"/>
        <w:rPr/>
      </w:pPr>
      <w:r>
        <w:rPr>
          <w:rFonts w:cs="Arial"/>
          <w:b/>
        </w:rPr>
        <w:t>Additional Notes:</w:t>
      </w:r>
      <w:r>
        <w:rPr>
          <w:rFonts w:cs="Arial"/>
        </w:rPr>
        <w:t xml:space="preserve"> </w:t>
      </w:r>
      <w:r>
        <w:rPr/>
        <w:t>Email is reserved for private communication. Always use your utoronto.ca account and include [STAC67] in the subject line.</w:t>
      </w:r>
    </w:p>
    <w:p>
      <w:pPr>
        <w:pStyle w:val="Normal"/>
        <w:spacing w:before="0" w:after="0"/>
        <w:rPr>
          <w:rFonts w:cs="Arial"/>
          <w:sz w:val="16"/>
          <w:szCs w:val="16"/>
        </w:rPr>
      </w:pPr>
      <w:r>
        <w:rPr>
          <w:rFonts w:cs="Arial"/>
          <w:sz w:val="16"/>
          <w:szCs w:val="16"/>
        </w:rPr>
      </w:r>
    </w:p>
    <w:p>
      <w:pPr>
        <w:pStyle w:val="Heading2"/>
        <w:spacing w:before="240" w:after="360"/>
        <w:rPr>
          <w:rFonts w:eastAsia="Arial"/>
          <w:bCs/>
          <w:color w:val="262626"/>
          <w:sz w:val="32"/>
        </w:rPr>
      </w:pPr>
      <w:r>
        <w:rPr/>
        <w:t>Course Overview</w:t>
      </w:r>
    </w:p>
    <w:p>
      <w:pPr>
        <w:pStyle w:val="TextBody"/>
        <w:bidi w:val="0"/>
        <w:rPr/>
      </w:pPr>
      <w:r>
        <w:rPr/>
        <w:t>Regression is one of the most widely used statistical techniques across the sciences, social sciences, and industry. This course develops both its theory and its practice: how regression models are built and justified, and how to analyse data when they apply.</w:t>
      </w:r>
    </w:p>
    <w:p>
      <w:pPr>
        <w:pStyle w:val="TextBody"/>
        <w:bidi w:val="0"/>
        <w:rPr>
          <w:rFonts w:eastAsia="Arial" w:cs="Arial"/>
          <w:color w:val="000000"/>
        </w:rPr>
      </w:pPr>
      <w:r>
        <w:rPr/>
        <w:t>We begin with simple linear regression (least squares estimation, the geometry behind it, and inference on the regression parameters under normally distributed errors), then extend to multiple regression in matrix form, covering analysis of variance, confidence and prediction intervals, multicollinearity, and models with both quantitative and qualitative predictors. The last part of the course asks what to do when the standard assumptions fail: diagnostics, model selection and validation, and remedial measures including weighted least squares. All computation is in R, and you will be expected to write R code, interpret its output, and report your conclusions in writing.</w:t>
      </w:r>
    </w:p>
    <w:p>
      <w:pPr>
        <w:pStyle w:val="Heading3"/>
        <w:rPr/>
      </w:pPr>
      <w:r>
        <w:rPr/>
        <w:t>Course Learning Outcomes</w:t>
      </w:r>
    </w:p>
    <w:p>
      <w:pPr>
        <w:pStyle w:val="TextBody"/>
        <w:rPr/>
      </w:pPr>
      <w:r>
        <w:rPr/>
        <w:t>At the completion of this course, students will be able to:</w:t>
      </w:r>
    </w:p>
    <w:p>
      <w:pPr>
        <w:pStyle w:val="TextBody"/>
        <w:numPr>
          <w:ilvl w:val="0"/>
          <w:numId w:val="2"/>
        </w:numPr>
        <w:tabs>
          <w:tab w:val="clear" w:pos="720"/>
          <w:tab w:val="left" w:pos="0" w:leader="none"/>
        </w:tabs>
        <w:spacing w:before="0" w:after="0"/>
        <w:ind w:left="709" w:hanging="283"/>
        <w:rPr/>
      </w:pPr>
      <w:r>
        <w:rPr/>
        <w:t xml:space="preserve">use R software to conduct regression analysis. </w:t>
      </w:r>
    </w:p>
    <w:p>
      <w:pPr>
        <w:pStyle w:val="TextBody"/>
        <w:numPr>
          <w:ilvl w:val="0"/>
          <w:numId w:val="2"/>
        </w:numPr>
        <w:tabs>
          <w:tab w:val="clear" w:pos="720"/>
          <w:tab w:val="left" w:pos="0" w:leader="none"/>
        </w:tabs>
        <w:spacing w:before="0" w:after="0"/>
        <w:ind w:left="709" w:hanging="283"/>
        <w:rPr/>
      </w:pPr>
      <w:r>
        <w:rPr/>
        <w:t xml:space="preserve">carry out and interpret inference procedures for simple and multiple linear regression. </w:t>
      </w:r>
    </w:p>
    <w:p>
      <w:pPr>
        <w:pStyle w:val="TextBody"/>
        <w:numPr>
          <w:ilvl w:val="0"/>
          <w:numId w:val="2"/>
        </w:numPr>
        <w:tabs>
          <w:tab w:val="clear" w:pos="720"/>
          <w:tab w:val="left" w:pos="0" w:leader="none"/>
        </w:tabs>
        <w:spacing w:before="0" w:after="0"/>
        <w:ind w:left="709" w:hanging="283"/>
        <w:rPr/>
      </w:pPr>
      <w:r>
        <w:rPr/>
        <w:t xml:space="preserve">know the multiple linear regression model in its matrix form, including all the common variations on this model (e.g., continuous predictors, categorical predictors, square and interaction terms). </w:t>
      </w:r>
    </w:p>
    <w:p>
      <w:pPr>
        <w:pStyle w:val="TextBody"/>
        <w:numPr>
          <w:ilvl w:val="0"/>
          <w:numId w:val="2"/>
        </w:numPr>
        <w:tabs>
          <w:tab w:val="clear" w:pos="720"/>
          <w:tab w:val="left" w:pos="0" w:leader="none"/>
        </w:tabs>
        <w:spacing w:before="0" w:after="0"/>
        <w:ind w:left="709" w:hanging="283"/>
        <w:rPr/>
      </w:pPr>
      <w:r>
        <w:rPr/>
        <w:t xml:space="preserve">understand what are the purposes of diagnostic methods in simple and multiple regression; be able to carry out several common diagnostic procedures and interpret them. </w:t>
      </w:r>
    </w:p>
    <w:p>
      <w:pPr>
        <w:pStyle w:val="TextBody"/>
        <w:numPr>
          <w:ilvl w:val="0"/>
          <w:numId w:val="2"/>
        </w:numPr>
        <w:tabs>
          <w:tab w:val="clear" w:pos="720"/>
          <w:tab w:val="left" w:pos="0" w:leader="none"/>
        </w:tabs>
        <w:spacing w:before="0" w:after="0"/>
        <w:ind w:left="709" w:hanging="283"/>
        <w:rPr/>
      </w:pPr>
      <w:r>
        <w:rPr/>
        <w:t xml:space="preserve">know several measures of model performance, how to compute and interpret them for a multiple regression model. </w:t>
      </w:r>
    </w:p>
    <w:p>
      <w:pPr>
        <w:pStyle w:val="TextBody"/>
        <w:numPr>
          <w:ilvl w:val="0"/>
          <w:numId w:val="2"/>
        </w:numPr>
        <w:tabs>
          <w:tab w:val="clear" w:pos="720"/>
          <w:tab w:val="left" w:pos="0" w:leader="none"/>
        </w:tabs>
        <w:ind w:left="709" w:hanging="283"/>
        <w:rPr>
          <w:rFonts w:eastAsia="Arial" w:cs="Arial"/>
          <w:color w:val="000000"/>
        </w:rPr>
      </w:pPr>
      <w:r>
        <w:rPr/>
        <w:t xml:space="preserve">write an analysis report with the real data. </w:t>
      </w:r>
    </w:p>
    <w:p>
      <w:pPr>
        <w:pStyle w:val="Normal"/>
        <w:spacing w:before="0" w:after="0"/>
        <w:rPr/>
      </w:pPr>
      <w:r>
        <w:rPr>
          <w:rFonts w:eastAsia="Arial" w:cs="Arial"/>
          <w:b/>
          <w:bCs/>
          <w:color w:val="000000"/>
        </w:rPr>
        <w:t>Prerequisites</w:t>
      </w:r>
      <w:r>
        <w:rPr>
          <w:rFonts w:eastAsia="Calibri" w:cs="Arial"/>
          <w:color w:val="000000"/>
        </w:rPr>
        <w:t xml:space="preserve">: </w:t>
      </w:r>
      <w:r>
        <w:rPr/>
        <w:t>STAB57H3</w:t>
      </w:r>
    </w:p>
    <w:p>
      <w:pPr>
        <w:pStyle w:val="Normal"/>
        <w:spacing w:before="0" w:after="0"/>
        <w:rPr/>
      </w:pPr>
      <w:r>
        <w:rPr>
          <w:rFonts w:eastAsia="Arial" w:cs="Arial"/>
          <w:b/>
          <w:bCs/>
          <w:color w:val="000000"/>
        </w:rPr>
        <w:t>Corequisites</w:t>
      </w:r>
      <w:r>
        <w:rPr>
          <w:rFonts w:eastAsia="Calibri" w:cs="Arial"/>
          <w:color w:val="000000"/>
        </w:rPr>
        <w:t xml:space="preserve">: </w:t>
      </w:r>
      <w:r>
        <w:rPr/>
        <w:t>None</w:t>
      </w:r>
    </w:p>
    <w:p>
      <w:pPr>
        <w:pStyle w:val="Normal"/>
        <w:spacing w:before="0" w:after="0"/>
        <w:rPr/>
      </w:pPr>
      <w:r>
        <w:rPr>
          <w:rFonts w:eastAsia="Arial" w:cs="Arial"/>
          <w:b/>
          <w:bCs/>
        </w:rPr>
        <w:t>Exclusions:</w:t>
      </w:r>
      <w:r>
        <w:rPr>
          <w:rFonts w:eastAsia="Arial" w:cs="Arial"/>
        </w:rPr>
        <w:t xml:space="preserve"> </w:t>
      </w:r>
      <w:r>
        <w:rPr/>
        <w:t>STA302H; [Students who want to complete both STAC67H3 and MGEB12H3, and receive credit for both courses, must successfully complete MGEB12H3 prior to enrolling in STAC67H3; for students who complete MGEB12H3 after successfully completing STAC67H3, MGEB12H3 will be marked as Extra (EXT)]</w:t>
      </w:r>
    </w:p>
    <w:p>
      <w:pPr>
        <w:pStyle w:val="Normal"/>
        <w:spacing w:before="0" w:after="0"/>
        <w:rPr/>
      </w:pPr>
      <w:r>
        <w:rPr>
          <w:rFonts w:cs="Arial"/>
          <w:b/>
        </w:rPr>
        <w:t>Recommended Preparation</w:t>
      </w:r>
      <w:r>
        <w:rPr>
          <w:rFonts w:cs="Arial"/>
        </w:rPr>
        <w:t xml:space="preserve">: </w:t>
      </w:r>
      <w:r>
        <w:rPr/>
        <w:t>None</w:t>
      </w:r>
    </w:p>
    <w:p>
      <w:pPr>
        <w:pStyle w:val="Normal"/>
        <w:spacing w:before="0" w:after="0"/>
        <w:rPr/>
      </w:pPr>
      <w:r>
        <w:rPr>
          <w:rFonts w:eastAsia="Arial" w:cs="Arial"/>
          <w:b/>
          <w:bCs/>
        </w:rPr>
        <w:t>Credit Value:</w:t>
      </w:r>
      <w:r>
        <w:rPr>
          <w:rFonts w:eastAsia="Arial" w:cs="Arial"/>
          <w:b/>
          <w:bCs/>
          <w:color w:val="000000"/>
        </w:rPr>
        <w:t xml:space="preserve"> </w:t>
      </w:r>
      <w:r>
        <w:rPr>
          <w:rFonts w:eastAsia="Arial" w:cs="Arial"/>
          <w:color w:val="000000"/>
        </w:rPr>
        <w:t>0.5</w:t>
      </w:r>
    </w:p>
    <w:p>
      <w:pPr>
        <w:pStyle w:val="Normal"/>
        <w:spacing w:before="0" w:after="0"/>
        <w:rPr>
          <w:rFonts w:eastAsia="Arial" w:cs="Arial"/>
        </w:rPr>
      </w:pPr>
      <w:r>
        <w:rPr>
          <w:rFonts w:eastAsia="Arial" w:cs="Arial"/>
        </w:rPr>
      </w:r>
    </w:p>
    <w:p>
      <w:pPr>
        <w:pStyle w:val="Heading2"/>
        <w:rPr/>
      </w:pPr>
      <w:r>
        <w:rPr/>
        <w:t>Course Materials</w:t>
      </w:r>
    </w:p>
    <w:p>
      <w:pPr>
        <w:pStyle w:val="TextBody"/>
        <w:rPr/>
      </w:pPr>
      <w:r>
        <w:rPr>
          <w:rStyle w:val="StrongEmphasis"/>
        </w:rPr>
        <w:t>Required Text</w:t>
      </w:r>
      <w:r>
        <w:rPr/>
        <w:t>: Applied Linear Regression Models., 4th Edition (older versions are fine)</w:t>
        <w:br/>
        <w:t>Author(s): Kutner, M. H., Nachtstein, C. J., and Neter, J.</w:t>
      </w:r>
    </w:p>
    <w:p>
      <w:pPr>
        <w:pStyle w:val="TextBody"/>
        <w:rPr/>
      </w:pPr>
      <w:r>
        <w:rPr/>
        <w:br/>
      </w:r>
      <w:r>
        <w:rPr>
          <w:rStyle w:val="StrongEmphasis"/>
        </w:rPr>
        <w:t>WebLink for Data Sets and Solution Manual</w:t>
      </w:r>
      <w:r>
        <w:rPr/>
        <w:t xml:space="preserve">: </w:t>
      </w:r>
      <w:hyperlink r:id="rId4" w:tgtFrame="_blank">
        <w:r>
          <w:rPr>
            <w:rStyle w:val="InternetLink"/>
          </w:rPr>
          <w:t>http://www.cnachtsheim-text.csom.umn.edu</w:t>
        </w:r>
      </w:hyperlink>
    </w:p>
    <w:p>
      <w:pPr>
        <w:pStyle w:val="TextBody"/>
        <w:rPr/>
      </w:pPr>
      <w:r>
        <w:rPr/>
        <w:br/>
      </w:r>
      <w:r>
        <w:rPr>
          <w:rStyle w:val="StrongEmphasis"/>
        </w:rPr>
        <w:t>Sub-text</w:t>
      </w:r>
      <w:r>
        <w:rPr/>
        <w:t>: A Modern Approach to Regression with R (should be available online for free)</w:t>
        <w:br/>
        <w:t>Author: Simon J. Sheather</w:t>
      </w:r>
    </w:p>
    <w:p>
      <w:pPr>
        <w:pStyle w:val="Heading2"/>
        <w:keepNext w:val="false"/>
        <w:rPr/>
      </w:pPr>
      <w:r>
        <w:rPr/>
        <w:t>Marking Scheme</w:t>
      </w:r>
    </w:p>
    <w:tbl>
      <w:tblPr>
        <w:tblW w:w="9360" w:type="dxa"/>
        <w:jc w:val="left"/>
        <w:tblInd w:w="0" w:type="dxa"/>
        <w:tblLayout w:type="fixed"/>
        <w:tblCellMar>
          <w:top w:w="0" w:type="dxa"/>
          <w:left w:w="108" w:type="dxa"/>
          <w:bottom w:w="0" w:type="dxa"/>
          <w:right w:w="108" w:type="dxa"/>
        </w:tblCellMar>
      </w:tblPr>
      <w:tblGrid>
        <w:gridCol w:w="2340"/>
        <w:gridCol w:w="1125"/>
        <w:gridCol w:w="3555"/>
        <w:gridCol w:w="2340"/>
      </w:tblGrid>
      <w:tr>
        <w:trPr>
          <w:tblHeader w:val="true"/>
          <w:trHeight w:val="457" w:hRule="atLeast"/>
        </w:trPr>
        <w:tc>
          <w:tcPr>
            <w:tcW w:w="2340" w:type="dxa"/>
            <w:tcBorders>
              <w:top w:val="single" w:sz="4" w:space="0" w:color="999999"/>
              <w:left w:val="single" w:sz="4" w:space="0" w:color="999999"/>
              <w:bottom w:val="single" w:sz="12" w:space="0" w:color="666666"/>
              <w:right w:val="single" w:sz="4" w:space="0" w:color="999999"/>
            </w:tcBorders>
          </w:tcPr>
          <w:p>
            <w:pPr>
              <w:pStyle w:val="Normal"/>
              <w:keepLines/>
              <w:widowControl w:val="false"/>
              <w:suppressAutoHyphens w:val="true"/>
              <w:spacing w:before="0" w:after="160"/>
              <w:jc w:val="left"/>
              <w:rPr>
                <w:rFonts w:eastAsia="Arial" w:cs="Arial"/>
                <w:b/>
                <w:bCs/>
                <w:kern w:val="0"/>
                <w:sz w:val="22"/>
                <w:szCs w:val="22"/>
                <w:lang w:val="en-CA" w:eastAsia="ja-JP" w:bidi="ar-SA"/>
              </w:rPr>
            </w:pPr>
            <w:r>
              <w:rPr>
                <w:rFonts w:eastAsia="Arial" w:cs="Arial"/>
                <w:b/>
                <w:bCs/>
                <w:kern w:val="0"/>
                <w:sz w:val="22"/>
                <w:szCs w:val="22"/>
                <w:lang w:val="en-CA" w:eastAsia="ja-JP" w:bidi="ar-SA"/>
              </w:rPr>
              <w:t>Assessment</w:t>
            </w:r>
          </w:p>
        </w:tc>
        <w:tc>
          <w:tcPr>
            <w:tcW w:w="1125" w:type="dxa"/>
            <w:tcBorders>
              <w:top w:val="single" w:sz="4" w:space="0" w:color="999999"/>
              <w:left w:val="single" w:sz="4" w:space="0" w:color="999999"/>
              <w:bottom w:val="single" w:sz="12" w:space="0" w:color="666666"/>
              <w:right w:val="single" w:sz="4" w:space="0" w:color="999999"/>
            </w:tcBorders>
          </w:tcPr>
          <w:p>
            <w:pPr>
              <w:pStyle w:val="Normal"/>
              <w:keepLines/>
              <w:widowControl w:val="false"/>
              <w:suppressAutoHyphens w:val="true"/>
              <w:spacing w:before="0" w:after="160"/>
              <w:jc w:val="left"/>
              <w:rPr>
                <w:rFonts w:eastAsia="Arial" w:cs="Arial"/>
                <w:b/>
                <w:bCs/>
                <w:kern w:val="0"/>
                <w:sz w:val="22"/>
                <w:szCs w:val="22"/>
                <w:lang w:val="en-CA" w:eastAsia="ja-JP" w:bidi="ar-SA"/>
              </w:rPr>
            </w:pPr>
            <w:r>
              <w:rPr>
                <w:rFonts w:eastAsia="Arial" w:cs="Arial"/>
                <w:b/>
                <w:bCs/>
                <w:kern w:val="0"/>
                <w:sz w:val="22"/>
                <w:szCs w:val="22"/>
                <w:lang w:val="en-CA" w:eastAsia="ja-JP" w:bidi="ar-SA"/>
              </w:rPr>
              <w:t>Percent</w:t>
            </w:r>
          </w:p>
        </w:tc>
        <w:tc>
          <w:tcPr>
            <w:tcW w:w="3555" w:type="dxa"/>
            <w:tcBorders>
              <w:top w:val="single" w:sz="4" w:space="0" w:color="999999"/>
              <w:left w:val="single" w:sz="4" w:space="0" w:color="999999"/>
              <w:bottom w:val="single" w:sz="12" w:space="0" w:color="666666"/>
              <w:right w:val="single" w:sz="4" w:space="0" w:color="999999"/>
            </w:tcBorders>
          </w:tcPr>
          <w:p>
            <w:pPr>
              <w:pStyle w:val="Normal"/>
              <w:keepLines/>
              <w:widowControl w:val="false"/>
              <w:suppressAutoHyphens w:val="true"/>
              <w:spacing w:before="0" w:after="160"/>
              <w:jc w:val="left"/>
              <w:rPr>
                <w:rFonts w:eastAsia="Arial" w:cs="Arial"/>
                <w:b/>
                <w:bCs/>
                <w:kern w:val="0"/>
                <w:sz w:val="22"/>
                <w:szCs w:val="22"/>
                <w:lang w:val="en-CA" w:eastAsia="ja-JP" w:bidi="ar-SA"/>
              </w:rPr>
            </w:pPr>
            <w:r>
              <w:rPr>
                <w:rFonts w:eastAsia="Arial" w:cs="Arial"/>
                <w:b/>
                <w:bCs/>
                <w:kern w:val="0"/>
                <w:sz w:val="22"/>
                <w:szCs w:val="22"/>
                <w:lang w:val="en-CA" w:eastAsia="ja-JP" w:bidi="ar-SA"/>
              </w:rPr>
              <w:t>Details</w:t>
            </w:r>
          </w:p>
        </w:tc>
        <w:tc>
          <w:tcPr>
            <w:tcW w:w="2340" w:type="dxa"/>
            <w:tcBorders>
              <w:top w:val="single" w:sz="4" w:space="0" w:color="999999"/>
              <w:left w:val="single" w:sz="4" w:space="0" w:color="999999"/>
              <w:bottom w:val="single" w:sz="12" w:space="0" w:color="666666"/>
              <w:right w:val="single" w:sz="4" w:space="0" w:color="999999"/>
            </w:tcBorders>
          </w:tcPr>
          <w:p>
            <w:pPr>
              <w:pStyle w:val="Normal"/>
              <w:keepLines/>
              <w:widowControl w:val="false"/>
              <w:suppressAutoHyphens w:val="true"/>
              <w:spacing w:before="0" w:after="160"/>
              <w:jc w:val="left"/>
              <w:rPr>
                <w:rFonts w:eastAsia="Arial" w:cs="Arial"/>
                <w:b/>
                <w:bCs/>
                <w:kern w:val="0"/>
                <w:sz w:val="22"/>
                <w:szCs w:val="22"/>
                <w:lang w:val="en-CA" w:eastAsia="ja-JP" w:bidi="ar-SA"/>
              </w:rPr>
            </w:pPr>
            <w:r>
              <w:rPr>
                <w:rFonts w:eastAsia="Arial" w:cs="Arial"/>
                <w:b/>
                <w:bCs/>
                <w:kern w:val="0"/>
                <w:sz w:val="22"/>
                <w:szCs w:val="22"/>
                <w:lang w:val="en-CA" w:eastAsia="ja-JP" w:bidi="ar-SA"/>
              </w:rPr>
              <w:t>Due Date</w:t>
            </w:r>
          </w:p>
        </w:tc>
      </w:tr>
      <w:tr>
        <w:trPr/>
        <w:tc>
          <w:tcPr>
            <w:tcW w:w="2340" w:type="dxa"/>
            <w:tcBorders>
              <w:top w:val="single" w:sz="4" w:space="0" w:color="999999"/>
              <w:left w:val="single" w:sz="4" w:space="0" w:color="999999"/>
              <w:bottom w:val="single" w:sz="4" w:space="0" w:color="999999"/>
              <w:right w:val="single" w:sz="4" w:space="0" w:color="999999"/>
            </w:tcBorders>
          </w:tcPr>
          <w:p>
            <w:pPr>
              <w:pStyle w:val="Normal"/>
              <w:keepLines/>
              <w:widowControl w:val="false"/>
              <w:suppressAutoHyphens w:val="true"/>
              <w:spacing w:lineRule="auto" w:line="240" w:before="0" w:after="0"/>
              <w:jc w:val="left"/>
              <w:rPr>
                <w:rFonts w:eastAsia="Arial" w:cs="Arial"/>
                <w:b/>
                <w:bCs/>
                <w:kern w:val="0"/>
                <w:sz w:val="22"/>
                <w:szCs w:val="22"/>
                <w:lang w:val="en-CA" w:eastAsia="ja-JP" w:bidi="ar-SA"/>
              </w:rPr>
            </w:pPr>
            <w:r>
              <w:rPr>
                <w:rFonts w:eastAsia="Arial" w:cs="Arial"/>
                <w:b/>
                <w:bCs/>
                <w:kern w:val="0"/>
                <w:sz w:val="22"/>
                <w:szCs w:val="22"/>
                <w:lang w:val="en-CA" w:eastAsia="ja-JP" w:bidi="ar-SA"/>
              </w:rPr>
              <w:t>Assignments</w:t>
            </w:r>
          </w:p>
        </w:tc>
        <w:tc>
          <w:tcPr>
            <w:tcW w:w="1125" w:type="dxa"/>
            <w:tcBorders>
              <w:top w:val="single" w:sz="4" w:space="0" w:color="999999"/>
              <w:left w:val="single" w:sz="4" w:space="0" w:color="999999"/>
              <w:bottom w:val="single" w:sz="4" w:space="0" w:color="999999"/>
              <w:right w:val="single" w:sz="4" w:space="0" w:color="999999"/>
            </w:tcBorders>
          </w:tcPr>
          <w:p>
            <w:pPr>
              <w:pStyle w:val="Normal"/>
              <w:keepLines/>
              <w:widowControl w:val="false"/>
              <w:suppressAutoHyphens w:val="true"/>
              <w:spacing w:lineRule="auto" w:line="240" w:before="0" w:after="0"/>
              <w:jc w:val="left"/>
              <w:rPr>
                <w:rFonts w:eastAsia="Arial" w:cs="Arial"/>
                <w:kern w:val="0"/>
                <w:sz w:val="22"/>
                <w:szCs w:val="22"/>
                <w:lang w:val="en-CA" w:eastAsia="ja-JP" w:bidi="ar-SA"/>
              </w:rPr>
            </w:pPr>
            <w:r>
              <w:rPr>
                <w:rFonts w:eastAsia="Arial" w:cs="Arial"/>
                <w:kern w:val="0"/>
                <w:sz w:val="22"/>
                <w:szCs w:val="22"/>
                <w:lang w:val="en-CA" w:eastAsia="ja-JP" w:bidi="ar-SA"/>
              </w:rPr>
              <w:t>15%</w:t>
            </w:r>
          </w:p>
        </w:tc>
        <w:tc>
          <w:tcPr>
            <w:tcW w:w="3555" w:type="dxa"/>
            <w:tcBorders>
              <w:top w:val="single" w:sz="4" w:space="0" w:color="999999"/>
              <w:left w:val="single" w:sz="4" w:space="0" w:color="999999"/>
              <w:bottom w:val="single" w:sz="4" w:space="0" w:color="999999"/>
              <w:right w:val="single" w:sz="4" w:space="0" w:color="999999"/>
            </w:tcBorders>
          </w:tcPr>
          <w:p>
            <w:pPr>
              <w:pStyle w:val="TextBody"/>
              <w:spacing w:lineRule="auto" w:line="276" w:before="0" w:after="140"/>
              <w:rPr/>
            </w:pPr>
            <w:r>
              <w:rPr/>
              <w:t>Three assignments, 5 % each. Individual work. Late submissions are not accepted.</w:t>
            </w:r>
          </w:p>
        </w:tc>
        <w:tc>
          <w:tcPr>
            <w:tcW w:w="2340" w:type="dxa"/>
            <w:tcBorders>
              <w:top w:val="single" w:sz="4" w:space="0" w:color="999999"/>
              <w:left w:val="single" w:sz="4" w:space="0" w:color="999999"/>
              <w:bottom w:val="single" w:sz="4" w:space="0" w:color="999999"/>
              <w:right w:val="single" w:sz="4" w:space="0" w:color="999999"/>
            </w:tcBorders>
          </w:tcPr>
          <w:p>
            <w:pPr>
              <w:pStyle w:val="TextBody"/>
              <w:spacing w:lineRule="auto" w:line="276" w:before="0" w:after="140"/>
              <w:rPr/>
            </w:pPr>
            <w:r>
              <w:rPr/>
              <w:t>2026</w:t>
              <w:noBreakHyphen/>
              <w:t>09</w:t>
              <w:noBreakHyphen/>
              <w:t>30, 2026</w:t>
              <w:noBreakHyphen/>
              <w:t>10</w:t>
              <w:noBreakHyphen/>
              <w:t>21, 2026</w:t>
              <w:noBreakHyphen/>
              <w:t>11</w:t>
              <w:noBreakHyphen/>
              <w:t>18</w:t>
            </w:r>
          </w:p>
        </w:tc>
      </w:tr>
      <w:tr>
        <w:trPr/>
        <w:tc>
          <w:tcPr>
            <w:tcW w:w="2340" w:type="dxa"/>
            <w:tcBorders>
              <w:top w:val="single" w:sz="4" w:space="0" w:color="999999"/>
              <w:left w:val="single" w:sz="4" w:space="0" w:color="999999"/>
              <w:bottom w:val="single" w:sz="4" w:space="0" w:color="999999"/>
              <w:right w:val="single" w:sz="4" w:space="0" w:color="999999"/>
            </w:tcBorders>
          </w:tcPr>
          <w:p>
            <w:pPr>
              <w:pStyle w:val="Normal"/>
              <w:keepLines/>
              <w:widowControl w:val="false"/>
              <w:suppressAutoHyphens w:val="true"/>
              <w:spacing w:lineRule="auto" w:line="240" w:before="0" w:after="0"/>
              <w:jc w:val="left"/>
              <w:rPr>
                <w:rFonts w:eastAsia="Arial" w:cs="Arial"/>
                <w:b/>
                <w:bCs/>
                <w:kern w:val="0"/>
                <w:sz w:val="22"/>
                <w:szCs w:val="22"/>
                <w:lang w:val="en-CA" w:eastAsia="ja-JP" w:bidi="ar-SA"/>
              </w:rPr>
            </w:pPr>
            <w:r>
              <w:rPr>
                <w:rFonts w:eastAsia="Arial" w:cs="Arial"/>
                <w:b/>
                <w:bCs/>
                <w:kern w:val="0"/>
                <w:sz w:val="22"/>
                <w:szCs w:val="22"/>
                <w:lang w:val="en-CA" w:eastAsia="ja-JP" w:bidi="ar-SA"/>
              </w:rPr>
              <w:t>Midterm</w:t>
            </w:r>
          </w:p>
        </w:tc>
        <w:tc>
          <w:tcPr>
            <w:tcW w:w="1125" w:type="dxa"/>
            <w:tcBorders>
              <w:top w:val="single" w:sz="4" w:space="0" w:color="999999"/>
              <w:left w:val="single" w:sz="4" w:space="0" w:color="999999"/>
              <w:bottom w:val="single" w:sz="4" w:space="0" w:color="999999"/>
              <w:right w:val="single" w:sz="4" w:space="0" w:color="999999"/>
            </w:tcBorders>
          </w:tcPr>
          <w:p>
            <w:pPr>
              <w:pStyle w:val="Normal"/>
              <w:keepLines/>
              <w:widowControl w:val="false"/>
              <w:suppressAutoHyphens w:val="true"/>
              <w:spacing w:lineRule="auto" w:line="240" w:before="0" w:after="0"/>
              <w:jc w:val="left"/>
              <w:rPr>
                <w:rFonts w:eastAsia="Arial" w:cs="Arial"/>
                <w:kern w:val="0"/>
                <w:sz w:val="22"/>
                <w:szCs w:val="22"/>
                <w:lang w:val="en-CA" w:eastAsia="ja-JP" w:bidi="ar-SA"/>
              </w:rPr>
            </w:pPr>
            <w:r>
              <w:rPr>
                <w:rFonts w:eastAsia="Arial" w:cs="Arial"/>
                <w:kern w:val="0"/>
                <w:sz w:val="22"/>
                <w:szCs w:val="22"/>
                <w:lang w:val="en-CA" w:eastAsia="ja-JP" w:bidi="ar-SA"/>
              </w:rPr>
              <w:t>15%</w:t>
            </w:r>
          </w:p>
        </w:tc>
        <w:tc>
          <w:tcPr>
            <w:tcW w:w="3555" w:type="dxa"/>
            <w:tcBorders>
              <w:top w:val="single" w:sz="4" w:space="0" w:color="999999"/>
              <w:left w:val="single" w:sz="4" w:space="0" w:color="999999"/>
              <w:bottom w:val="single" w:sz="4" w:space="0" w:color="999999"/>
              <w:right w:val="single" w:sz="4" w:space="0" w:color="999999"/>
            </w:tcBorders>
          </w:tcPr>
          <w:p>
            <w:pPr>
              <w:pStyle w:val="TextBody"/>
              <w:spacing w:lineRule="auto" w:line="276" w:before="0" w:after="140"/>
              <w:rPr/>
            </w:pPr>
            <w:r>
              <w:rPr/>
              <w:t>Scheduled by the Registrar's Office, outside class time, in the week of October 19. Covers material through Week 6.</w:t>
            </w:r>
          </w:p>
        </w:tc>
        <w:tc>
          <w:tcPr>
            <w:tcW w:w="2340" w:type="dxa"/>
            <w:tcBorders>
              <w:top w:val="single" w:sz="4" w:space="0" w:color="999999"/>
              <w:left w:val="single" w:sz="4" w:space="0" w:color="999999"/>
              <w:bottom w:val="single" w:sz="4" w:space="0" w:color="999999"/>
              <w:right w:val="single" w:sz="4" w:space="0" w:color="999999"/>
            </w:tcBorders>
          </w:tcPr>
          <w:p>
            <w:pPr>
              <w:pStyle w:val="TextBody"/>
              <w:spacing w:lineRule="auto" w:line="276" w:before="0" w:after="140"/>
              <w:rPr/>
            </w:pPr>
            <w:r>
              <w:rPr/>
              <w:t>2026</w:t>
              <w:noBreakHyphen/>
              <w:t>10</w:t>
              <w:noBreakHyphen/>
              <w:t>19 - 2026</w:t>
              <w:noBreakHyphen/>
              <w:t>10</w:t>
              <w:noBreakHyphen/>
              <w:t>25</w:t>
            </w:r>
          </w:p>
        </w:tc>
      </w:tr>
      <w:tr>
        <w:trPr/>
        <w:tc>
          <w:tcPr>
            <w:tcW w:w="2340" w:type="dxa"/>
            <w:tcBorders>
              <w:top w:val="single" w:sz="4" w:space="0" w:color="999999"/>
              <w:left w:val="single" w:sz="4" w:space="0" w:color="999999"/>
              <w:bottom w:val="single" w:sz="4" w:space="0" w:color="999999"/>
              <w:right w:val="single" w:sz="4" w:space="0" w:color="999999"/>
            </w:tcBorders>
          </w:tcPr>
          <w:p>
            <w:pPr>
              <w:pStyle w:val="Normal"/>
              <w:keepLines/>
              <w:widowControl w:val="false"/>
              <w:suppressAutoHyphens w:val="true"/>
              <w:spacing w:lineRule="auto" w:line="240" w:before="0" w:after="0"/>
              <w:jc w:val="left"/>
              <w:rPr>
                <w:rFonts w:eastAsia="Arial" w:cs="Arial"/>
                <w:b/>
                <w:bCs/>
                <w:kern w:val="0"/>
                <w:sz w:val="22"/>
                <w:szCs w:val="22"/>
                <w:lang w:val="en-CA" w:eastAsia="ja-JP" w:bidi="ar-SA"/>
              </w:rPr>
            </w:pPr>
            <w:r>
              <w:rPr>
                <w:rFonts w:eastAsia="Arial" w:cs="Arial"/>
                <w:b/>
                <w:bCs/>
                <w:kern w:val="0"/>
                <w:sz w:val="22"/>
                <w:szCs w:val="22"/>
                <w:lang w:val="en-CA" w:eastAsia="ja-JP" w:bidi="ar-SA"/>
              </w:rPr>
              <w:t>Quiz</w:t>
            </w:r>
          </w:p>
        </w:tc>
        <w:tc>
          <w:tcPr>
            <w:tcW w:w="1125" w:type="dxa"/>
            <w:tcBorders>
              <w:top w:val="single" w:sz="4" w:space="0" w:color="999999"/>
              <w:left w:val="single" w:sz="4" w:space="0" w:color="999999"/>
              <w:bottom w:val="single" w:sz="4" w:space="0" w:color="999999"/>
              <w:right w:val="single" w:sz="4" w:space="0" w:color="999999"/>
            </w:tcBorders>
          </w:tcPr>
          <w:p>
            <w:pPr>
              <w:pStyle w:val="Normal"/>
              <w:keepLines/>
              <w:widowControl w:val="false"/>
              <w:suppressAutoHyphens w:val="true"/>
              <w:spacing w:lineRule="auto" w:line="240" w:before="0" w:after="0"/>
              <w:jc w:val="left"/>
              <w:rPr>
                <w:rFonts w:eastAsia="Arial" w:cs="Arial"/>
                <w:kern w:val="0"/>
                <w:sz w:val="22"/>
                <w:szCs w:val="22"/>
                <w:lang w:val="en-CA" w:eastAsia="ja-JP" w:bidi="ar-SA"/>
              </w:rPr>
            </w:pPr>
            <w:r>
              <w:rPr>
                <w:rFonts w:eastAsia="Arial" w:cs="Arial"/>
                <w:kern w:val="0"/>
                <w:sz w:val="22"/>
                <w:szCs w:val="22"/>
                <w:lang w:val="en-CA" w:eastAsia="ja-JP" w:bidi="ar-SA"/>
              </w:rPr>
              <w:t>15%</w:t>
            </w:r>
          </w:p>
        </w:tc>
        <w:tc>
          <w:tcPr>
            <w:tcW w:w="3555" w:type="dxa"/>
            <w:tcBorders>
              <w:top w:val="single" w:sz="4" w:space="0" w:color="999999"/>
              <w:left w:val="single" w:sz="4" w:space="0" w:color="999999"/>
              <w:bottom w:val="single" w:sz="4" w:space="0" w:color="999999"/>
              <w:right w:val="single" w:sz="4" w:space="0" w:color="999999"/>
            </w:tcBorders>
          </w:tcPr>
          <w:p>
            <w:pPr>
              <w:pStyle w:val="TextBody"/>
              <w:spacing w:lineRule="auto" w:line="276" w:before="0" w:after="140"/>
              <w:rPr/>
            </w:pPr>
            <w:r>
              <w:rPr/>
              <w:t>Three quizzes, written in tutorial. The best two of three count, 7.5 % each; the lowest quiz mark is dropped automatically. There are no make-up quizzes.</w:t>
            </w:r>
          </w:p>
        </w:tc>
        <w:tc>
          <w:tcPr>
            <w:tcW w:w="2340" w:type="dxa"/>
            <w:tcBorders>
              <w:top w:val="single" w:sz="4" w:space="0" w:color="999999"/>
              <w:left w:val="single" w:sz="4" w:space="0" w:color="999999"/>
              <w:bottom w:val="single" w:sz="4" w:space="0" w:color="999999"/>
              <w:right w:val="single" w:sz="4" w:space="0" w:color="999999"/>
            </w:tcBorders>
          </w:tcPr>
          <w:p>
            <w:pPr>
              <w:pStyle w:val="TextBody"/>
              <w:spacing w:lineRule="auto" w:line="276" w:before="0" w:after="140"/>
              <w:rPr/>
            </w:pPr>
            <w:r>
              <w:rPr/>
              <w:t>No Specific Date</w:t>
            </w:r>
          </w:p>
        </w:tc>
      </w:tr>
      <w:tr>
        <w:trPr/>
        <w:tc>
          <w:tcPr>
            <w:tcW w:w="2340" w:type="dxa"/>
            <w:tcBorders>
              <w:top w:val="single" w:sz="4" w:space="0" w:color="999999"/>
              <w:left w:val="single" w:sz="4" w:space="0" w:color="999999"/>
              <w:bottom w:val="single" w:sz="4" w:space="0" w:color="999999"/>
              <w:right w:val="single" w:sz="4" w:space="0" w:color="999999"/>
            </w:tcBorders>
          </w:tcPr>
          <w:p>
            <w:pPr>
              <w:pStyle w:val="Normal"/>
              <w:keepLines/>
              <w:widowControl w:val="false"/>
              <w:suppressAutoHyphens w:val="true"/>
              <w:spacing w:lineRule="auto" w:line="240" w:before="0" w:after="0"/>
              <w:jc w:val="left"/>
              <w:rPr>
                <w:rFonts w:eastAsia="Arial" w:cs="Arial"/>
                <w:b/>
                <w:bCs/>
                <w:kern w:val="0"/>
                <w:sz w:val="22"/>
                <w:szCs w:val="22"/>
                <w:lang w:val="en-CA" w:eastAsia="ja-JP" w:bidi="ar-SA"/>
              </w:rPr>
            </w:pPr>
            <w:r>
              <w:rPr>
                <w:rFonts w:eastAsia="Arial" w:cs="Arial"/>
                <w:b/>
                <w:bCs/>
                <w:kern w:val="0"/>
                <w:sz w:val="22"/>
                <w:szCs w:val="22"/>
                <w:lang w:val="en-CA" w:eastAsia="ja-JP" w:bidi="ar-SA"/>
              </w:rPr>
              <w:t>Case Study Project</w:t>
            </w:r>
          </w:p>
        </w:tc>
        <w:tc>
          <w:tcPr>
            <w:tcW w:w="1125" w:type="dxa"/>
            <w:tcBorders>
              <w:top w:val="single" w:sz="4" w:space="0" w:color="999999"/>
              <w:left w:val="single" w:sz="4" w:space="0" w:color="999999"/>
              <w:bottom w:val="single" w:sz="4" w:space="0" w:color="999999"/>
              <w:right w:val="single" w:sz="4" w:space="0" w:color="999999"/>
            </w:tcBorders>
          </w:tcPr>
          <w:p>
            <w:pPr>
              <w:pStyle w:val="Normal"/>
              <w:keepLines/>
              <w:widowControl w:val="false"/>
              <w:suppressAutoHyphens w:val="true"/>
              <w:spacing w:lineRule="auto" w:line="240" w:before="0" w:after="0"/>
              <w:jc w:val="left"/>
              <w:rPr>
                <w:rFonts w:eastAsia="Arial" w:cs="Arial"/>
                <w:kern w:val="0"/>
                <w:sz w:val="22"/>
                <w:szCs w:val="22"/>
                <w:lang w:val="en-CA" w:eastAsia="ja-JP" w:bidi="ar-SA"/>
              </w:rPr>
            </w:pPr>
            <w:r>
              <w:rPr>
                <w:rFonts w:eastAsia="Arial" w:cs="Arial"/>
                <w:kern w:val="0"/>
                <w:sz w:val="22"/>
                <w:szCs w:val="22"/>
                <w:lang w:val="en-CA" w:eastAsia="ja-JP" w:bidi="ar-SA"/>
              </w:rPr>
              <w:t>20%</w:t>
            </w:r>
          </w:p>
        </w:tc>
        <w:tc>
          <w:tcPr>
            <w:tcW w:w="3555" w:type="dxa"/>
            <w:tcBorders>
              <w:top w:val="single" w:sz="4" w:space="0" w:color="999999"/>
              <w:left w:val="single" w:sz="4" w:space="0" w:color="999999"/>
              <w:bottom w:val="single" w:sz="4" w:space="0" w:color="999999"/>
              <w:right w:val="single" w:sz="4" w:space="0" w:color="999999"/>
            </w:tcBorders>
          </w:tcPr>
          <w:p>
            <w:pPr>
              <w:pStyle w:val="TextBody"/>
              <w:spacing w:lineRule="auto" w:line="276" w:before="0" w:after="140"/>
              <w:rPr/>
            </w:pPr>
            <w:r>
              <w:rPr/>
              <w:t>Optional. Groups of at most four, on a dataset from a pre-approved list. Assessed on a checkpoint (8), a written report in R Markdown (72), and a five-minute presentation (20).</w:t>
            </w:r>
          </w:p>
        </w:tc>
        <w:tc>
          <w:tcPr>
            <w:tcW w:w="2340" w:type="dxa"/>
            <w:tcBorders>
              <w:top w:val="single" w:sz="4" w:space="0" w:color="999999"/>
              <w:left w:val="single" w:sz="4" w:space="0" w:color="999999"/>
              <w:bottom w:val="single" w:sz="4" w:space="0" w:color="999999"/>
              <w:right w:val="single" w:sz="4" w:space="0" w:color="999999"/>
            </w:tcBorders>
          </w:tcPr>
          <w:p>
            <w:pPr>
              <w:pStyle w:val="TextBody"/>
              <w:spacing w:lineRule="auto" w:line="276" w:before="0" w:after="140"/>
              <w:rPr/>
            </w:pPr>
            <w:r>
              <w:rPr/>
              <w:t>No Specific Date</w:t>
            </w:r>
          </w:p>
        </w:tc>
      </w:tr>
      <w:tr>
        <w:trPr/>
        <w:tc>
          <w:tcPr>
            <w:tcW w:w="2340" w:type="dxa"/>
            <w:tcBorders>
              <w:top w:val="single" w:sz="4" w:space="0" w:color="999999"/>
              <w:left w:val="single" w:sz="4" w:space="0" w:color="999999"/>
              <w:bottom w:val="single" w:sz="4" w:space="0" w:color="999999"/>
              <w:right w:val="single" w:sz="4" w:space="0" w:color="999999"/>
            </w:tcBorders>
          </w:tcPr>
          <w:p>
            <w:pPr>
              <w:pStyle w:val="Normal"/>
              <w:keepLines/>
              <w:widowControl w:val="false"/>
              <w:suppressAutoHyphens w:val="true"/>
              <w:spacing w:lineRule="auto" w:line="240" w:before="0" w:after="0"/>
              <w:jc w:val="left"/>
              <w:rPr>
                <w:rFonts w:eastAsia="Arial" w:cs="Arial"/>
                <w:b/>
                <w:bCs/>
                <w:kern w:val="0"/>
                <w:sz w:val="22"/>
                <w:szCs w:val="22"/>
                <w:lang w:val="en-CA" w:eastAsia="ja-JP" w:bidi="ar-SA"/>
              </w:rPr>
            </w:pPr>
            <w:r>
              <w:rPr>
                <w:rFonts w:eastAsia="Arial" w:cs="Arial"/>
                <w:b/>
                <w:bCs/>
                <w:kern w:val="0"/>
                <w:sz w:val="22"/>
                <w:szCs w:val="22"/>
                <w:lang w:val="en-CA" w:eastAsia="ja-JP" w:bidi="ar-SA"/>
              </w:rPr>
              <w:t>Final Exam</w:t>
            </w:r>
          </w:p>
        </w:tc>
        <w:tc>
          <w:tcPr>
            <w:tcW w:w="1125" w:type="dxa"/>
            <w:tcBorders>
              <w:top w:val="single" w:sz="4" w:space="0" w:color="999999"/>
              <w:left w:val="single" w:sz="4" w:space="0" w:color="999999"/>
              <w:bottom w:val="single" w:sz="4" w:space="0" w:color="999999"/>
              <w:right w:val="single" w:sz="4" w:space="0" w:color="999999"/>
            </w:tcBorders>
          </w:tcPr>
          <w:p>
            <w:pPr>
              <w:pStyle w:val="Normal"/>
              <w:keepLines/>
              <w:widowControl w:val="false"/>
              <w:suppressAutoHyphens w:val="true"/>
              <w:spacing w:lineRule="auto" w:line="240" w:before="0" w:after="0"/>
              <w:jc w:val="left"/>
              <w:rPr>
                <w:rFonts w:eastAsia="Arial" w:cs="Arial"/>
                <w:kern w:val="0"/>
                <w:sz w:val="22"/>
                <w:szCs w:val="22"/>
                <w:lang w:val="en-CA" w:eastAsia="ja-JP" w:bidi="ar-SA"/>
              </w:rPr>
            </w:pPr>
            <w:r>
              <w:rPr>
                <w:rFonts w:eastAsia="Arial" w:cs="Arial"/>
                <w:kern w:val="0"/>
                <w:sz w:val="22"/>
                <w:szCs w:val="22"/>
                <w:lang w:val="en-CA" w:eastAsia="ja-JP" w:bidi="ar-SA"/>
              </w:rPr>
              <w:t>35%</w:t>
            </w:r>
          </w:p>
        </w:tc>
        <w:tc>
          <w:tcPr>
            <w:tcW w:w="3555" w:type="dxa"/>
            <w:tcBorders>
              <w:top w:val="single" w:sz="4" w:space="0" w:color="999999"/>
              <w:left w:val="single" w:sz="4" w:space="0" w:color="999999"/>
              <w:bottom w:val="single" w:sz="4" w:space="0" w:color="999999"/>
              <w:right w:val="single" w:sz="4" w:space="0" w:color="999999"/>
            </w:tcBorders>
          </w:tcPr>
          <w:p>
            <w:pPr>
              <w:pStyle w:val="TextBody"/>
              <w:spacing w:lineRule="auto" w:line="276" w:before="0" w:after="140"/>
              <w:rPr/>
            </w:pPr>
            <w:r>
              <w:rPr/>
              <w:t>Covers all material from the term.</w:t>
            </w:r>
          </w:p>
        </w:tc>
        <w:tc>
          <w:tcPr>
            <w:tcW w:w="2340" w:type="dxa"/>
            <w:tcBorders>
              <w:top w:val="single" w:sz="4" w:space="0" w:color="999999"/>
              <w:left w:val="single" w:sz="4" w:space="0" w:color="999999"/>
              <w:bottom w:val="single" w:sz="4" w:space="0" w:color="999999"/>
              <w:right w:val="single" w:sz="4" w:space="0" w:color="999999"/>
            </w:tcBorders>
          </w:tcPr>
          <w:p>
            <w:pPr>
              <w:pStyle w:val="Normal"/>
              <w:keepLines/>
              <w:widowControl w:val="false"/>
              <w:suppressAutoHyphens w:val="true"/>
              <w:spacing w:lineRule="auto" w:line="240" w:before="0" w:after="0"/>
              <w:jc w:val="left"/>
              <w:rPr>
                <w:rFonts w:eastAsia="Arial" w:cs="Arial"/>
                <w:kern w:val="0"/>
                <w:sz w:val="22"/>
                <w:szCs w:val="22"/>
                <w:lang w:val="en-CA" w:eastAsia="ja-JP" w:bidi="ar-SA"/>
              </w:rPr>
            </w:pPr>
            <w:r>
              <w:rPr>
                <w:rFonts w:eastAsia="Arial" w:cs="Arial"/>
                <w:kern w:val="0"/>
                <w:sz w:val="22"/>
                <w:szCs w:val="22"/>
                <w:lang w:val="en-CA" w:eastAsia="ja-JP" w:bidi="ar-SA"/>
              </w:rPr>
              <w:t>Final Exam Period</w:t>
            </w:r>
          </w:p>
        </w:tc>
      </w:tr>
    </w:tbl>
    <w:p>
      <w:pPr>
        <w:pStyle w:val="Quotations"/>
        <w:bidi w:val="0"/>
        <w:rPr/>
      </w:pPr>
      <w:r>
        <w:rPr>
          <w:rStyle w:val="StrongEmphasis"/>
        </w:rPr>
        <w:t>Final grade = 15 % (Assignments) + 15 % (Quizzes) + 15 % (Midterm) + max { 20 % (Project) + 35 % (Final Exam), 55 % (Final Exam) }</w:t>
      </w:r>
    </w:p>
    <w:p>
      <w:pPr>
        <w:pStyle w:val="TextBody"/>
        <w:bidi w:val="0"/>
        <w:rPr/>
      </w:pPr>
      <w:r>
        <w:rPr/>
        <w:t xml:space="preserve">The case study project is </w:t>
      </w:r>
      <w:r>
        <w:rPr>
          <w:rStyle w:val="StrongEmphasis"/>
        </w:rPr>
        <w:t>optional</w:t>
      </w:r>
      <w:r>
        <w:rPr/>
        <w:t xml:space="preserve">. Your grade is calculated twice: once counting the project, and once with that weight moved onto the final exam. </w:t>
      </w:r>
      <w:r>
        <w:rPr>
          <w:rStyle w:val="StrongEmphasis"/>
        </w:rPr>
        <w:t>You receive whichever result is higher</w:t>
      </w:r>
      <w:r>
        <w:rPr/>
        <w:t>.</w:t>
      </w:r>
    </w:p>
    <w:p>
      <w:pPr>
        <w:pStyle w:val="TextBody"/>
        <w:bidi w:val="0"/>
        <w:rPr/>
      </w:pPr>
      <w:r>
        <w:rPr/>
        <w:t xml:space="preserve">Both marks are out of 100, so the comparison is simple: </w:t>
      </w:r>
      <w:r>
        <w:rPr>
          <w:rStyle w:val="StrongEmphasis"/>
        </w:rPr>
        <w:t>the project counts whenever your project mark is higher than your final exam mark</w:t>
      </w:r>
      <w:r>
        <w:rPr/>
        <w:t>, and is ignored otherwise. Doing the project can raise your grade and can never lower it. If you do not do the project, your final exam is worth 55 %.</w:t>
      </w:r>
    </w:p>
    <w:p>
      <w:pPr>
        <w:pStyle w:val="TextBody"/>
        <w:bidi w:val="0"/>
        <w:rPr/>
      </w:pPr>
      <w:r>
        <w:rPr>
          <w:rStyle w:val="StrongEmphasis"/>
        </w:rPr>
        <w:t>Leaving the project.</w:t>
      </w:r>
      <w:r>
        <w:rPr/>
        <w:t xml:space="preserve"> The project has four deadlines: group and dataset declared (</w:t>
      </w:r>
      <w:r>
        <w:rPr>
          <w:rStyle w:val="StrongEmphasis"/>
        </w:rPr>
        <w:t>Fri 6 Nov</w:t>
      </w:r>
      <w:r>
        <w:rPr/>
        <w:t>), checkpoint (</w:t>
      </w:r>
      <w:r>
        <w:rPr>
          <w:rStyle w:val="StrongEmphasis"/>
        </w:rPr>
        <w:t>Fri 13 Nov</w:t>
      </w:r>
      <w:r>
        <w:rPr/>
        <w:t>), written report (</w:t>
      </w:r>
      <w:r>
        <w:rPr>
          <w:rStyle w:val="StrongEmphasis"/>
        </w:rPr>
        <w:t>Fri 27 Nov</w:t>
      </w:r>
      <w:r>
        <w:rPr/>
        <w:t xml:space="preserve">), and presentation (in your tutorial, week of </w:t>
      </w:r>
      <w:r>
        <w:rPr>
          <w:rStyle w:val="StrongEmphasis"/>
        </w:rPr>
        <w:t>30 Nov</w:t>
      </w:r>
      <w:r>
        <w:rPr/>
        <w:t xml:space="preserve">). If you miss any of them, you are simply assessed on the second formula for the rest of the term, with the final exam worth 55 %. </w:t>
      </w:r>
      <w:r>
        <w:rPr>
          <w:rStyle w:val="StrongEmphasis"/>
        </w:rPr>
        <w:t>This is not an academic penalty and you do not receive a zero;</w:t>
      </w:r>
      <w:r>
        <w:rPr/>
        <w:t> you are treated exactly as a student who chose not to do the project. You may also leave the project voluntarily at any point by telling me, and I would ask that you do so rather than simply not appearing, since presentation slots are scheduled in advance.</w:t>
      </w:r>
    </w:p>
    <w:p>
      <w:pPr>
        <w:pStyle w:val="TextBody"/>
        <w:bidi w:val="0"/>
        <w:rPr/>
      </w:pPr>
      <w:r>
        <w:rPr/>
        <w:t>Leaving is an individual decision: the rest of your group may carry on, and your report mark is discarded only for you. Because the grade is a maximum, no one is ever worse off for having started the project and stopped.</w:t>
      </w:r>
    </w:p>
    <w:p>
      <w:pPr>
        <w:pStyle w:val="TextBody"/>
        <w:bidi w:val="0"/>
        <w:rPr/>
      </w:pPr>
      <w:r>
        <w:rPr>
          <w:rStyle w:val="StrongEmphasis"/>
        </w:rPr>
        <w:t>The midterm test is not optional</w:t>
      </w:r>
      <w:r>
        <w:rPr/>
        <w:t xml:space="preserve"> and is not part of this calculation. If you miss it for a documented valid reason, its weight is transferred to your final exam.</w:t>
      </w:r>
    </w:p>
    <w:p>
      <w:pPr>
        <w:pStyle w:val="Heading3"/>
        <w:rPr/>
      </w:pPr>
      <w:r>
        <w:rPr/>
        <w:t>Missed assessments</w:t>
      </w:r>
    </w:p>
    <w:p>
      <w:pPr>
        <w:pStyle w:val="TextBody"/>
        <w:numPr>
          <w:ilvl w:val="0"/>
          <w:numId w:val="3"/>
        </w:numPr>
        <w:tabs>
          <w:tab w:val="clear" w:pos="720"/>
          <w:tab w:val="left" w:pos="0" w:leader="none"/>
        </w:tabs>
        <w:spacing w:before="0" w:after="0"/>
        <w:ind w:left="709" w:hanging="283"/>
        <w:rPr/>
      </w:pPr>
      <w:r>
        <w:rPr>
          <w:rStyle w:val="StrongEmphasis"/>
        </w:rPr>
        <w:t>Quizzes:</w:t>
      </w:r>
      <w:r>
        <w:rPr/>
        <w:t xml:space="preserve"> the lowest of the three is dropped automatically. This is the accommodation; there are no make-up quizzes for any reason. </w:t>
      </w:r>
    </w:p>
    <w:p>
      <w:pPr>
        <w:pStyle w:val="TextBody"/>
        <w:numPr>
          <w:ilvl w:val="0"/>
          <w:numId w:val="3"/>
        </w:numPr>
        <w:tabs>
          <w:tab w:val="clear" w:pos="720"/>
          <w:tab w:val="left" w:pos="0" w:leader="none"/>
        </w:tabs>
        <w:spacing w:before="0" w:after="0"/>
        <w:ind w:left="709" w:hanging="283"/>
        <w:rPr/>
      </w:pPr>
      <w:r>
        <w:rPr>
          <w:rStyle w:val="StrongEmphasis"/>
        </w:rPr>
        <w:t>Midterm test:</w:t>
      </w:r>
      <w:r>
        <w:rPr/>
        <w:t xml:space="preserve"> if missed for a documented valid reason, its weight is transferred to the final exam. </w:t>
      </w:r>
    </w:p>
    <w:p>
      <w:pPr>
        <w:pStyle w:val="TextBody"/>
        <w:numPr>
          <w:ilvl w:val="0"/>
          <w:numId w:val="3"/>
        </w:numPr>
        <w:tabs>
          <w:tab w:val="clear" w:pos="720"/>
          <w:tab w:val="left" w:pos="0" w:leader="none"/>
        </w:tabs>
        <w:spacing w:before="0" w:after="0"/>
        <w:ind w:left="709" w:hanging="283"/>
        <w:rPr/>
      </w:pPr>
      <w:r>
        <w:rPr>
          <w:rStyle w:val="StrongEmphasis"/>
        </w:rPr>
        <w:t>Assignments:</w:t>
      </w:r>
      <w:r>
        <w:rPr/>
        <w:t xml:space="preserve"> no late submissions and no extensions. </w:t>
      </w:r>
    </w:p>
    <w:p>
      <w:pPr>
        <w:pStyle w:val="TextBody"/>
        <w:numPr>
          <w:ilvl w:val="0"/>
          <w:numId w:val="3"/>
        </w:numPr>
        <w:tabs>
          <w:tab w:val="clear" w:pos="720"/>
          <w:tab w:val="left" w:pos="0" w:leader="none"/>
        </w:tabs>
        <w:ind w:left="709" w:hanging="283"/>
        <w:rPr/>
      </w:pPr>
      <w:r>
        <w:rPr>
          <w:rStyle w:val="StrongEmphasis"/>
        </w:rPr>
        <w:t>Project:</w:t>
      </w:r>
      <w:r>
        <w:rPr/>
        <w:t xml:space="preserve"> no late reports. To be counted, a group must declare its members and claim a dataset by </w:t>
      </w:r>
      <w:r>
        <w:rPr>
          <w:rStyle w:val="StrongEmphasis"/>
        </w:rPr>
        <w:t>Friday 6 November</w:t>
      </w:r>
      <w:r>
        <w:rPr/>
        <w:t> and pass the checkpoint on </w:t>
      </w:r>
      <w:r>
        <w:rPr>
          <w:rStyle w:val="StrongEmphasis"/>
        </w:rPr>
        <w:t>Friday 13 November</w:t>
      </w:r>
      <w:r>
        <w:rPr/>
        <w:t xml:space="preserve">. Groups that miss either deadline are assessed on the no-project scheme above. </w:t>
      </w:r>
    </w:p>
    <w:p>
      <w:pPr>
        <w:pStyle w:val="Heading3"/>
        <w:rPr/>
      </w:pPr>
      <w:r>
        <w:rPr/>
        <w:t>Computing</w:t>
      </w:r>
    </w:p>
    <w:p>
      <w:pPr>
        <w:pStyle w:val="TextBody"/>
        <w:rPr/>
      </w:pPr>
      <w:r>
        <w:rPr/>
        <w:t>Statistical computing is a key part of the class. In-class analysis will be conducted in R and all course material (code and data) is in R format. R is free and available for download at </w:t>
      </w:r>
      <w:hyperlink r:id="rId5">
        <w:r>
          <w:rPr>
            <w:rStyle w:val="InternetLink"/>
          </w:rPr>
          <w:t>http://www.r-project.org</w:t>
        </w:r>
      </w:hyperlink>
      <w:r>
        <w:rPr/>
        <w:t>, and you can find manuals and installation guidelines on this site.</w:t>
        <w:br/>
        <w:t>More information and documentation are available on The R Project website. Students are expected to write R codes and interpret R outputs on assignments, quizzes, and tests.</w:t>
      </w:r>
    </w:p>
    <w:p>
      <w:pPr>
        <w:pStyle w:val="Normal"/>
        <w:rPr>
          <w:rFonts w:cs="Arial"/>
        </w:rPr>
      </w:pPr>
      <w:r>
        <w:rPr>
          <w:rFonts w:cs="Arial"/>
        </w:rPr>
      </w:r>
    </w:p>
    <w:p>
      <w:pPr>
        <w:pStyle w:val="Normal"/>
        <w:rPr>
          <w:rFonts w:cs="Arial"/>
        </w:rPr>
      </w:pPr>
      <w:r>
        <w:rPr>
          <w:rFonts w:cs="Arial"/>
        </w:rPr>
      </w:r>
    </w:p>
    <w:p>
      <w:pPr>
        <w:pStyle w:val="Normal"/>
        <w:numPr>
          <w:ilvl w:val="0"/>
          <w:numId w:val="0"/>
        </w:numPr>
        <w:spacing w:before="280" w:after="120"/>
        <w:ind w:left="0" w:right="0" w:hanging="0"/>
        <w:outlineLvl w:val="2"/>
        <w:rPr>
          <w:rFonts w:ascii="Arial" w:hAnsi="Arial" w:eastAsia="Arial" w:cs="Arial"/>
          <w:b/>
          <w:kern w:val="0"/>
          <w:sz w:val="24"/>
          <w:lang w:eastAsia="ja-JP"/>
        </w:rPr>
      </w:pPr>
      <w:r>
        <w:rPr>
          <w:rFonts w:eastAsia="Arial" w:cs="Arial"/>
          <w:b/>
          <w:kern w:val="0"/>
          <w:sz w:val="24"/>
          <w:lang w:eastAsia="ja-JP"/>
        </w:rPr>
        <w:t>Late Assessment Submissions Policy</w:t>
      </w:r>
    </w:p>
    <w:p>
      <w:pPr>
        <w:pStyle w:val="TextBody"/>
        <w:rPr/>
      </w:pPr>
      <w:r>
        <w:rPr/>
        <w:t xml:space="preserve">There is </w:t>
      </w:r>
      <w:r>
        <w:rPr>
          <w:rStyle w:val="StrongEmphasis"/>
        </w:rPr>
        <w:t>NO make-up test or quizzes</w:t>
      </w:r>
      <w:r>
        <w:rPr/>
        <w:t>.</w:t>
      </w:r>
    </w:p>
    <w:p>
      <w:pPr>
        <w:pStyle w:val="TextBody"/>
        <w:rPr/>
      </w:pPr>
      <w:r>
        <w:rPr/>
        <w:br/>
        <w:t>The best 2 quizzes out of 3 will be calculated.</w:t>
      </w:r>
    </w:p>
    <w:p>
      <w:pPr>
        <w:pStyle w:val="TextBody"/>
        <w:rPr/>
      </w:pPr>
      <w:r>
        <w:rPr/>
        <w:br/>
        <w:t>If midterm test is missed for a valid reason, its weight will be shifted to the final exam.</w:t>
        <w:br/>
        <w:t xml:space="preserve">Late submission of any assessment will </w:t>
      </w:r>
      <w:r>
        <w:rPr>
          <w:rStyle w:val="StrongEmphasis"/>
        </w:rPr>
        <w:t>NOT</w:t>
      </w:r>
      <w:r>
        <w:rPr/>
        <w:t xml:space="preserve"> be allowed.</w:t>
      </w:r>
    </w:p>
    <w:p>
      <w:pPr>
        <w:pStyle w:val="Normal"/>
        <w:rPr/>
      </w:pPr>
      <w:r>
        <w:rPr/>
      </w:r>
    </w:p>
    <w:p>
      <w:pPr>
        <w:pStyle w:val="Normal"/>
        <w:rPr>
          <w:rFonts w:cs="Arial"/>
        </w:rPr>
      </w:pPr>
      <w:r>
        <w:rPr>
          <w:rFonts w:cs="Arial"/>
        </w:rPr>
      </w:r>
    </w:p>
    <w:p>
      <w:pPr>
        <w:pStyle w:val="Heading2"/>
        <w:spacing w:before="360" w:after="360"/>
        <w:rPr/>
      </w:pPr>
      <w:r>
        <w:rPr/>
        <w:t>Course Schedule</w:t>
      </w:r>
    </w:p>
    <w:p>
      <w:pPr>
        <w:pStyle w:val="Normal"/>
        <w:rPr/>
      </w:pPr>
      <w:r>
        <w:rPr/>
      </w:r>
    </w:p>
    <w:tbl>
      <w:tblPr>
        <w:tblW w:w="9360" w:type="dxa"/>
        <w:jc w:val="left"/>
        <w:tblInd w:w="0" w:type="dxa"/>
        <w:tblLayout w:type="fixed"/>
        <w:tblCellMar>
          <w:top w:w="28" w:type="dxa"/>
          <w:left w:w="28" w:type="dxa"/>
          <w:bottom w:w="28" w:type="dxa"/>
          <w:right w:w="28" w:type="dxa"/>
        </w:tblCellMar>
      </w:tblPr>
      <w:tblGrid>
        <w:gridCol w:w="696"/>
        <w:gridCol w:w="802"/>
        <w:gridCol w:w="5386"/>
        <w:gridCol w:w="2476"/>
      </w:tblGrid>
      <w:tr>
        <w:trPr>
          <w:tblHeader w:val="true"/>
        </w:trPr>
        <w:tc>
          <w:tcPr>
            <w:tcW w:w="696" w:type="dxa"/>
            <w:tcBorders/>
            <w:vAlign w:val="center"/>
          </w:tcPr>
          <w:p>
            <w:pPr>
              <w:pStyle w:val="TableHeading"/>
              <w:suppressLineNumbers/>
              <w:spacing w:before="0" w:after="160"/>
              <w:jc w:val="center"/>
              <w:rPr/>
            </w:pPr>
            <w:r>
              <w:rPr/>
              <w:t>Week</w:t>
            </w:r>
          </w:p>
        </w:tc>
        <w:tc>
          <w:tcPr>
            <w:tcW w:w="802" w:type="dxa"/>
            <w:tcBorders/>
            <w:vAlign w:val="center"/>
          </w:tcPr>
          <w:p>
            <w:pPr>
              <w:pStyle w:val="TableHeading"/>
              <w:suppressLineNumbers/>
              <w:spacing w:before="0" w:after="160"/>
              <w:jc w:val="center"/>
              <w:rPr/>
            </w:pPr>
            <w:r>
              <w:rPr/>
              <w:t>Dates</w:t>
            </w:r>
          </w:p>
        </w:tc>
        <w:tc>
          <w:tcPr>
            <w:tcW w:w="5386" w:type="dxa"/>
            <w:tcBorders/>
            <w:vAlign w:val="center"/>
          </w:tcPr>
          <w:p>
            <w:pPr>
              <w:pStyle w:val="TableHeading"/>
              <w:suppressLineNumbers/>
              <w:spacing w:before="0" w:after="160"/>
              <w:jc w:val="center"/>
              <w:rPr/>
            </w:pPr>
            <w:r>
              <w:rPr/>
              <w:t>Description</w:t>
            </w:r>
          </w:p>
        </w:tc>
        <w:tc>
          <w:tcPr>
            <w:tcW w:w="2476" w:type="dxa"/>
            <w:tcBorders/>
            <w:vAlign w:val="center"/>
          </w:tcPr>
          <w:p>
            <w:pPr>
              <w:pStyle w:val="TableHeading"/>
              <w:suppressLineNumbers/>
              <w:spacing w:before="0" w:after="160"/>
              <w:jc w:val="center"/>
              <w:rPr/>
            </w:pPr>
            <w:r>
              <w:rPr/>
              <w:t>Assessment</w:t>
            </w:r>
          </w:p>
        </w:tc>
      </w:tr>
      <w:tr>
        <w:trPr/>
        <w:tc>
          <w:tcPr>
            <w:tcW w:w="696" w:type="dxa"/>
            <w:tcBorders/>
            <w:vAlign w:val="center"/>
          </w:tcPr>
          <w:p>
            <w:pPr>
              <w:pStyle w:val="TableContents"/>
              <w:widowControl w:val="false"/>
              <w:suppressLineNumbers/>
              <w:spacing w:before="0" w:after="160"/>
              <w:rPr/>
            </w:pPr>
            <w:r>
              <w:rPr>
                <w:rStyle w:val="StrongEmphasis"/>
              </w:rPr>
              <w:t>1</w:t>
            </w:r>
          </w:p>
        </w:tc>
        <w:tc>
          <w:tcPr>
            <w:tcW w:w="802" w:type="dxa"/>
            <w:tcBorders/>
            <w:vAlign w:val="center"/>
          </w:tcPr>
          <w:p>
            <w:pPr>
              <w:pStyle w:val="TableContents"/>
              <w:widowControl w:val="false"/>
              <w:suppressLineNumbers/>
              <w:spacing w:before="0" w:after="160"/>
              <w:rPr/>
            </w:pPr>
            <w:r>
              <w:rPr/>
              <w:t>Sep 9, 11</w:t>
            </w:r>
          </w:p>
        </w:tc>
        <w:tc>
          <w:tcPr>
            <w:tcW w:w="5386" w:type="dxa"/>
            <w:tcBorders/>
            <w:vAlign w:val="center"/>
          </w:tcPr>
          <w:p>
            <w:pPr>
              <w:pStyle w:val="TableContents"/>
              <w:widowControl w:val="false"/>
              <w:suppressLineNumbers/>
              <w:spacing w:before="0" w:after="160"/>
              <w:rPr/>
            </w:pPr>
            <w:r>
              <w:rPr>
                <w:rStyle w:val="StrongEmphasis"/>
              </w:rPr>
              <w:t>Introduction.</w:t>
            </w:r>
            <w:r>
              <w:rPr/>
              <w:t> What regression is, and where it comes from. Data visualisation, covariance and correlation, the test for a population correlation. Data collection and the regression process. </w:t>
            </w:r>
            <w:r>
              <w:rPr>
                <w:rStyle w:val="StrongEmphasis"/>
              </w:rPr>
              <w:t>Simple linear regression I:</w:t>
            </w:r>
            <w:r>
              <w:rPr/>
              <w:t> the model and its assumptions.</w:t>
            </w:r>
          </w:p>
        </w:tc>
        <w:tc>
          <w:tcPr>
            <w:tcW w:w="2476" w:type="dxa"/>
            <w:tcBorders/>
            <w:vAlign w:val="center"/>
          </w:tcPr>
          <w:p>
            <w:pPr>
              <w:pStyle w:val="TableContents"/>
              <w:widowControl w:val="false"/>
              <w:suppressLineNumbers/>
              <w:spacing w:before="0" w:after="160"/>
              <w:rPr/>
            </w:pPr>
            <w:r>
              <w:rPr/>
              <w:t> </w:t>
            </w:r>
          </w:p>
        </w:tc>
      </w:tr>
      <w:tr>
        <w:trPr/>
        <w:tc>
          <w:tcPr>
            <w:tcW w:w="696" w:type="dxa"/>
            <w:tcBorders/>
            <w:vAlign w:val="center"/>
          </w:tcPr>
          <w:p>
            <w:pPr>
              <w:pStyle w:val="TableContents"/>
              <w:widowControl w:val="false"/>
              <w:suppressLineNumbers/>
              <w:spacing w:before="0" w:after="160"/>
              <w:rPr/>
            </w:pPr>
            <w:r>
              <w:rPr>
                <w:rStyle w:val="StrongEmphasis"/>
              </w:rPr>
              <w:t>2</w:t>
            </w:r>
          </w:p>
        </w:tc>
        <w:tc>
          <w:tcPr>
            <w:tcW w:w="802" w:type="dxa"/>
            <w:tcBorders/>
            <w:vAlign w:val="center"/>
          </w:tcPr>
          <w:p>
            <w:pPr>
              <w:pStyle w:val="TableContents"/>
              <w:widowControl w:val="false"/>
              <w:suppressLineNumbers/>
              <w:spacing w:before="0" w:after="160"/>
              <w:rPr/>
            </w:pPr>
            <w:r>
              <w:rPr/>
              <w:t>Sep 16, 18</w:t>
            </w:r>
          </w:p>
        </w:tc>
        <w:tc>
          <w:tcPr>
            <w:tcW w:w="5386" w:type="dxa"/>
            <w:tcBorders/>
            <w:vAlign w:val="center"/>
          </w:tcPr>
          <w:p>
            <w:pPr>
              <w:pStyle w:val="TableContents"/>
              <w:widowControl w:val="false"/>
              <w:suppressLineNumbers/>
              <w:spacing w:before="0" w:after="160"/>
              <w:rPr/>
            </w:pPr>
            <w:r>
              <w:rPr>
                <w:rStyle w:val="StrongEmphasis"/>
              </w:rPr>
              <w:t>Simple linear regression II:</w:t>
            </w:r>
            <w:r>
              <w:rPr/>
              <w:t> least squares estimation, the Gauss–Markov theorem, interpretation of σ², fitted values and residuals. Inference on the regression parameters: confidence intervals and hypothesis tests.</w:t>
            </w:r>
          </w:p>
        </w:tc>
        <w:tc>
          <w:tcPr>
            <w:tcW w:w="2476" w:type="dxa"/>
            <w:tcBorders/>
            <w:vAlign w:val="center"/>
          </w:tcPr>
          <w:p>
            <w:pPr>
              <w:pStyle w:val="TableContents"/>
              <w:widowControl w:val="false"/>
              <w:suppressLineNumbers/>
              <w:spacing w:before="0" w:after="160"/>
              <w:rPr/>
            </w:pPr>
            <w:r>
              <w:rPr/>
              <w:t>Assignment 1 released (Sep 18)</w:t>
            </w:r>
          </w:p>
        </w:tc>
      </w:tr>
      <w:tr>
        <w:trPr/>
        <w:tc>
          <w:tcPr>
            <w:tcW w:w="696" w:type="dxa"/>
            <w:tcBorders/>
            <w:vAlign w:val="center"/>
          </w:tcPr>
          <w:p>
            <w:pPr>
              <w:pStyle w:val="TableContents"/>
              <w:widowControl w:val="false"/>
              <w:suppressLineNumbers/>
              <w:spacing w:before="0" w:after="160"/>
              <w:rPr/>
            </w:pPr>
            <w:r>
              <w:rPr>
                <w:rStyle w:val="StrongEmphasis"/>
              </w:rPr>
              <w:t>3</w:t>
            </w:r>
          </w:p>
        </w:tc>
        <w:tc>
          <w:tcPr>
            <w:tcW w:w="802" w:type="dxa"/>
            <w:tcBorders/>
            <w:vAlign w:val="center"/>
          </w:tcPr>
          <w:p>
            <w:pPr>
              <w:pStyle w:val="TableContents"/>
              <w:widowControl w:val="false"/>
              <w:suppressLineNumbers/>
              <w:spacing w:before="0" w:after="160"/>
              <w:rPr/>
            </w:pPr>
            <w:r>
              <w:rPr/>
              <w:t>Sep 23, 25</w:t>
            </w:r>
          </w:p>
        </w:tc>
        <w:tc>
          <w:tcPr>
            <w:tcW w:w="5386" w:type="dxa"/>
            <w:tcBorders/>
            <w:vAlign w:val="center"/>
          </w:tcPr>
          <w:p>
            <w:pPr>
              <w:pStyle w:val="TableContents"/>
              <w:widowControl w:val="false"/>
              <w:suppressLineNumbers/>
              <w:spacing w:before="0" w:after="160"/>
              <w:rPr/>
            </w:pPr>
            <w:r>
              <w:rPr>
                <w:rStyle w:val="StrongEmphasis"/>
              </w:rPr>
              <w:t>Simple linear regression III:</w:t>
            </w:r>
            <w:r>
              <w:rPr/>
              <w:t> sampling distribution of the estimators, interval estimation of the mean response, prediction intervals. Analysis of variance and the coefficient of determination.</w:t>
            </w:r>
          </w:p>
        </w:tc>
        <w:tc>
          <w:tcPr>
            <w:tcW w:w="2476" w:type="dxa"/>
            <w:tcBorders/>
            <w:vAlign w:val="center"/>
          </w:tcPr>
          <w:p>
            <w:pPr>
              <w:pStyle w:val="TableContents"/>
              <w:widowControl w:val="false"/>
              <w:suppressLineNumbers/>
              <w:spacing w:before="0" w:after="160"/>
              <w:rPr/>
            </w:pPr>
            <w:r>
              <w:rPr/>
              <w:t> </w:t>
            </w:r>
          </w:p>
        </w:tc>
      </w:tr>
      <w:tr>
        <w:trPr/>
        <w:tc>
          <w:tcPr>
            <w:tcW w:w="696" w:type="dxa"/>
            <w:tcBorders/>
            <w:vAlign w:val="center"/>
          </w:tcPr>
          <w:p>
            <w:pPr>
              <w:pStyle w:val="TableContents"/>
              <w:widowControl w:val="false"/>
              <w:suppressLineNumbers/>
              <w:spacing w:before="0" w:after="160"/>
              <w:rPr/>
            </w:pPr>
            <w:r>
              <w:rPr>
                <w:rStyle w:val="StrongEmphasis"/>
              </w:rPr>
              <w:t>4</w:t>
            </w:r>
          </w:p>
        </w:tc>
        <w:tc>
          <w:tcPr>
            <w:tcW w:w="802" w:type="dxa"/>
            <w:tcBorders/>
            <w:vAlign w:val="center"/>
          </w:tcPr>
          <w:p>
            <w:pPr>
              <w:pStyle w:val="TableContents"/>
              <w:widowControl w:val="false"/>
              <w:suppressLineNumbers/>
              <w:spacing w:before="0" w:after="160"/>
              <w:rPr/>
            </w:pPr>
            <w:r>
              <w:rPr/>
              <w:t>Sep 30, Oct 2</w:t>
            </w:r>
          </w:p>
        </w:tc>
        <w:tc>
          <w:tcPr>
            <w:tcW w:w="5386" w:type="dxa"/>
            <w:tcBorders/>
            <w:vAlign w:val="center"/>
          </w:tcPr>
          <w:p>
            <w:pPr>
              <w:pStyle w:val="TableContents"/>
              <w:widowControl w:val="false"/>
              <w:suppressLineNumbers/>
              <w:spacing w:before="0" w:after="160"/>
              <w:rPr/>
            </w:pPr>
            <w:r>
              <w:rPr/>
              <w:t>Relationship between the F- and t-tests; descriptive measures of association. </w:t>
            </w:r>
            <w:r>
              <w:rPr>
                <w:rStyle w:val="StrongEmphasis"/>
              </w:rPr>
              <w:t>Diagnostics I:</w:t>
            </w:r>
            <w:r>
              <w:rPr/>
              <w:t> model assumptions and residual plots. </w:t>
            </w:r>
            <w:r>
              <w:rPr>
                <w:rStyle w:val="StrongEmphasis"/>
              </w:rPr>
              <w:t>Matrices and random vectors,</w:t>
            </w:r>
            <w:r>
              <w:rPr/>
              <w:t xml:space="preserve"> simple linear regression in matrix form, the hat matrix.</w:t>
            </w:r>
          </w:p>
        </w:tc>
        <w:tc>
          <w:tcPr>
            <w:tcW w:w="2476" w:type="dxa"/>
            <w:tcBorders/>
            <w:vAlign w:val="center"/>
          </w:tcPr>
          <w:p>
            <w:pPr>
              <w:pStyle w:val="TableContents"/>
              <w:widowControl w:val="false"/>
              <w:suppressLineNumbers/>
              <w:spacing w:before="0" w:after="160"/>
              <w:rPr/>
            </w:pPr>
            <w:r>
              <w:rPr/>
              <w:t>Assignment 1 due (Sep 30)</w:t>
            </w:r>
          </w:p>
        </w:tc>
      </w:tr>
      <w:tr>
        <w:trPr/>
        <w:tc>
          <w:tcPr>
            <w:tcW w:w="696" w:type="dxa"/>
            <w:tcBorders/>
            <w:vAlign w:val="center"/>
          </w:tcPr>
          <w:p>
            <w:pPr>
              <w:pStyle w:val="TableContents"/>
              <w:widowControl w:val="false"/>
              <w:suppressLineNumbers/>
              <w:spacing w:before="0" w:after="160"/>
              <w:rPr/>
            </w:pPr>
            <w:r>
              <w:rPr>
                <w:rStyle w:val="StrongEmphasis"/>
              </w:rPr>
              <w:t>5</w:t>
            </w:r>
          </w:p>
        </w:tc>
        <w:tc>
          <w:tcPr>
            <w:tcW w:w="802" w:type="dxa"/>
            <w:tcBorders/>
            <w:vAlign w:val="center"/>
          </w:tcPr>
          <w:p>
            <w:pPr>
              <w:pStyle w:val="TableContents"/>
              <w:widowControl w:val="false"/>
              <w:suppressLineNumbers/>
              <w:spacing w:before="0" w:after="160"/>
              <w:rPr/>
            </w:pPr>
            <w:r>
              <w:rPr/>
              <w:t>Oct 7, 9</w:t>
            </w:r>
          </w:p>
        </w:tc>
        <w:tc>
          <w:tcPr>
            <w:tcW w:w="5386" w:type="dxa"/>
            <w:tcBorders/>
            <w:vAlign w:val="center"/>
          </w:tcPr>
          <w:p>
            <w:pPr>
              <w:pStyle w:val="TableContents"/>
              <w:widowControl w:val="false"/>
              <w:suppressLineNumbers/>
              <w:spacing w:before="0" w:after="160"/>
              <w:rPr/>
            </w:pPr>
            <w:r>
              <w:rPr/>
              <w:t>Useful matrix results. </w:t>
            </w:r>
            <w:r>
              <w:rPr>
                <w:rStyle w:val="StrongEmphasis"/>
              </w:rPr>
              <w:t>Multiple linear regression I:</w:t>
            </w:r>
            <w:r>
              <w:rPr/>
              <w:t xml:space="preserve"> properties of linear functions of random vectors, properties of the least squares estimators, fitted values, residuals, and of a prediction.</w:t>
            </w:r>
          </w:p>
        </w:tc>
        <w:tc>
          <w:tcPr>
            <w:tcW w:w="2476" w:type="dxa"/>
            <w:tcBorders/>
            <w:vAlign w:val="center"/>
          </w:tcPr>
          <w:p>
            <w:pPr>
              <w:pStyle w:val="TableContents"/>
              <w:widowControl w:val="false"/>
              <w:suppressLineNumbers/>
              <w:spacing w:before="0" w:after="160"/>
              <w:rPr/>
            </w:pPr>
            <w:r>
              <w:rPr>
                <w:rStyle w:val="StrongEmphasis"/>
              </w:rPr>
              <w:t>Quiz 1</w:t>
            </w:r>
            <w:r>
              <w:rPr/>
              <w:t xml:space="preserve"> (tutorial), Assignment 2 released.</w:t>
            </w:r>
          </w:p>
        </w:tc>
      </w:tr>
      <w:tr>
        <w:trPr/>
        <w:tc>
          <w:tcPr>
            <w:tcW w:w="696" w:type="dxa"/>
            <w:tcBorders/>
            <w:vAlign w:val="center"/>
          </w:tcPr>
          <w:p>
            <w:pPr>
              <w:pStyle w:val="TableContents"/>
              <w:widowControl w:val="false"/>
              <w:suppressLineNumbers/>
              <w:spacing w:before="0" w:after="160"/>
              <w:rPr/>
            </w:pPr>
            <w:r>
              <w:rPr>
                <w:rStyle w:val="StrongEmphasis"/>
              </w:rPr>
              <w:t>6</w:t>
            </w:r>
          </w:p>
        </w:tc>
        <w:tc>
          <w:tcPr>
            <w:tcW w:w="802" w:type="dxa"/>
            <w:tcBorders/>
            <w:vAlign w:val="center"/>
          </w:tcPr>
          <w:p>
            <w:pPr>
              <w:pStyle w:val="TableContents"/>
              <w:widowControl w:val="false"/>
              <w:suppressLineNumbers/>
              <w:spacing w:before="0" w:after="160"/>
              <w:rPr/>
            </w:pPr>
            <w:r>
              <w:rPr/>
              <w:t>Oct 14, 16</w:t>
            </w:r>
          </w:p>
        </w:tc>
        <w:tc>
          <w:tcPr>
            <w:tcW w:w="5386" w:type="dxa"/>
            <w:tcBorders/>
            <w:vAlign w:val="center"/>
          </w:tcPr>
          <w:p>
            <w:pPr>
              <w:pStyle w:val="TableContents"/>
              <w:widowControl w:val="false"/>
              <w:suppressLineNumbers/>
              <w:spacing w:before="0" w:after="160"/>
              <w:rPr/>
            </w:pPr>
            <w:r>
              <w:rPr>
                <w:rStyle w:val="StrongEmphasis"/>
              </w:rPr>
              <w:t>The geometry of least squares.</w:t>
            </w:r>
            <w:r>
              <w:rPr/>
              <w:t> </w:t>
            </w:r>
            <w:r>
              <w:rPr>
                <w:rStyle w:val="StrongEmphasis"/>
              </w:rPr>
              <w:t>Multiple linear regression II:</w:t>
            </w:r>
            <w:r>
              <w:rPr/>
              <w:t xml:space="preserve"> inference for the mean response and for a new observation, distribution of quadratic forms, analysis of variance and the overall F-test.</w:t>
            </w:r>
          </w:p>
        </w:tc>
        <w:tc>
          <w:tcPr>
            <w:tcW w:w="2476" w:type="dxa"/>
            <w:tcBorders/>
            <w:vAlign w:val="center"/>
          </w:tcPr>
          <w:p>
            <w:pPr>
              <w:pStyle w:val="TableContents"/>
              <w:widowControl w:val="false"/>
              <w:suppressLineNumbers/>
              <w:spacing w:before="0" w:after="160"/>
              <w:rPr/>
            </w:pPr>
            <w:r>
              <w:rPr/>
              <w:t> </w:t>
            </w:r>
          </w:p>
        </w:tc>
      </w:tr>
      <w:tr>
        <w:trPr/>
        <w:tc>
          <w:tcPr>
            <w:tcW w:w="696" w:type="dxa"/>
            <w:tcBorders/>
            <w:vAlign w:val="center"/>
          </w:tcPr>
          <w:p>
            <w:pPr>
              <w:pStyle w:val="TableContents"/>
              <w:widowControl w:val="false"/>
              <w:suppressLineNumbers/>
              <w:spacing w:before="0" w:after="160"/>
              <w:rPr/>
            </w:pPr>
            <w:r>
              <w:rPr>
                <w:rStyle w:val="StrongEmphasis"/>
              </w:rPr>
              <w:t>7</w:t>
            </w:r>
          </w:p>
        </w:tc>
        <w:tc>
          <w:tcPr>
            <w:tcW w:w="802" w:type="dxa"/>
            <w:tcBorders/>
            <w:vAlign w:val="center"/>
          </w:tcPr>
          <w:p>
            <w:pPr>
              <w:pStyle w:val="TableContents"/>
              <w:widowControl w:val="false"/>
              <w:suppressLineNumbers/>
              <w:spacing w:before="0" w:after="160"/>
              <w:rPr/>
            </w:pPr>
            <w:r>
              <w:rPr/>
              <w:t>Oct 21, 23</w:t>
            </w:r>
          </w:p>
        </w:tc>
        <w:tc>
          <w:tcPr>
            <w:tcW w:w="5386" w:type="dxa"/>
            <w:tcBorders/>
            <w:vAlign w:val="center"/>
          </w:tcPr>
          <w:p>
            <w:pPr>
              <w:pStyle w:val="TableContents"/>
              <w:widowControl w:val="false"/>
              <w:suppressLineNumbers/>
              <w:spacing w:before="0" w:after="160"/>
              <w:rPr/>
            </w:pPr>
            <w:r>
              <w:rPr>
                <w:rStyle w:val="StrongEmphasis"/>
              </w:rPr>
              <w:t>Multiple linear regression III:</w:t>
            </w:r>
            <w:r>
              <w:rPr/>
              <w:t> general linear hypothesis testing and extra sums of squares. Multicollinearity and its effects. Qualitative predictors: binary and multi-level factors.</w:t>
            </w:r>
          </w:p>
        </w:tc>
        <w:tc>
          <w:tcPr>
            <w:tcW w:w="2476" w:type="dxa"/>
            <w:tcBorders/>
            <w:vAlign w:val="center"/>
          </w:tcPr>
          <w:p>
            <w:pPr>
              <w:pStyle w:val="TableContents"/>
              <w:widowControl w:val="false"/>
              <w:suppressLineNumbers/>
              <w:spacing w:before="0" w:after="160"/>
              <w:rPr/>
            </w:pPr>
            <w:r>
              <w:rPr/>
              <w:t xml:space="preserve">Assignment 2 due (Oct 21), </w:t>
            </w:r>
            <w:r>
              <w:rPr>
                <w:rStyle w:val="StrongEmphasis"/>
              </w:rPr>
              <w:t>Midterm Test</w:t>
            </w:r>
          </w:p>
        </w:tc>
      </w:tr>
      <w:tr>
        <w:trPr/>
        <w:tc>
          <w:tcPr>
            <w:tcW w:w="696" w:type="dxa"/>
            <w:tcBorders/>
            <w:vAlign w:val="center"/>
          </w:tcPr>
          <w:p>
            <w:pPr>
              <w:pStyle w:val="TableContents"/>
              <w:widowControl w:val="false"/>
              <w:suppressLineNumbers/>
              <w:spacing w:before="0" w:after="160"/>
              <w:rPr/>
            </w:pPr>
            <w:r>
              <w:rPr/>
              <w:t> </w:t>
            </w:r>
          </w:p>
        </w:tc>
        <w:tc>
          <w:tcPr>
            <w:tcW w:w="802" w:type="dxa"/>
            <w:tcBorders/>
            <w:vAlign w:val="center"/>
          </w:tcPr>
          <w:p>
            <w:pPr>
              <w:pStyle w:val="TableContents"/>
              <w:widowControl w:val="false"/>
              <w:suppressLineNumbers/>
              <w:spacing w:before="0" w:after="160"/>
              <w:rPr/>
            </w:pPr>
            <w:r>
              <w:rPr>
                <w:rStyle w:val="Emphasis"/>
              </w:rPr>
              <w:t>Oct 26–30</w:t>
            </w:r>
          </w:p>
        </w:tc>
        <w:tc>
          <w:tcPr>
            <w:tcW w:w="5386" w:type="dxa"/>
            <w:tcBorders/>
            <w:vAlign w:val="center"/>
          </w:tcPr>
          <w:p>
            <w:pPr>
              <w:pStyle w:val="TableContents"/>
              <w:widowControl w:val="false"/>
              <w:suppressLineNumbers/>
              <w:spacing w:before="0" w:after="160"/>
              <w:rPr/>
            </w:pPr>
            <w:r>
              <w:rPr>
                <w:rStyle w:val="Emphasis"/>
              </w:rPr>
              <w:t>Reading Week, no classes or tutorials.</w:t>
            </w:r>
          </w:p>
        </w:tc>
        <w:tc>
          <w:tcPr>
            <w:tcW w:w="2476" w:type="dxa"/>
            <w:tcBorders/>
            <w:vAlign w:val="center"/>
          </w:tcPr>
          <w:p>
            <w:pPr>
              <w:pStyle w:val="TableContents"/>
              <w:widowControl w:val="false"/>
              <w:suppressLineNumbers/>
              <w:spacing w:before="0" w:after="160"/>
              <w:rPr/>
            </w:pPr>
            <w:r>
              <w:rPr/>
              <w:t> </w:t>
            </w:r>
          </w:p>
        </w:tc>
      </w:tr>
      <w:tr>
        <w:trPr/>
        <w:tc>
          <w:tcPr>
            <w:tcW w:w="696" w:type="dxa"/>
            <w:tcBorders/>
            <w:vAlign w:val="center"/>
          </w:tcPr>
          <w:p>
            <w:pPr>
              <w:pStyle w:val="TableContents"/>
              <w:widowControl w:val="false"/>
              <w:suppressLineNumbers/>
              <w:spacing w:before="0" w:after="160"/>
              <w:rPr/>
            </w:pPr>
            <w:r>
              <w:rPr>
                <w:rStyle w:val="StrongEmphasis"/>
              </w:rPr>
              <w:t>8</w:t>
            </w:r>
          </w:p>
        </w:tc>
        <w:tc>
          <w:tcPr>
            <w:tcW w:w="802" w:type="dxa"/>
            <w:tcBorders/>
            <w:vAlign w:val="center"/>
          </w:tcPr>
          <w:p>
            <w:pPr>
              <w:pStyle w:val="TableContents"/>
              <w:widowControl w:val="false"/>
              <w:suppressLineNumbers/>
              <w:spacing w:before="0" w:after="160"/>
              <w:rPr/>
            </w:pPr>
            <w:r>
              <w:rPr/>
              <w:t>Nov 4, 6</w:t>
            </w:r>
          </w:p>
        </w:tc>
        <w:tc>
          <w:tcPr>
            <w:tcW w:w="5386" w:type="dxa"/>
            <w:tcBorders/>
            <w:vAlign w:val="center"/>
          </w:tcPr>
          <w:p>
            <w:pPr>
              <w:pStyle w:val="TableContents"/>
              <w:widowControl w:val="false"/>
              <w:suppressLineNumbers/>
              <w:spacing w:before="0" w:after="160"/>
              <w:rPr/>
            </w:pPr>
            <w:r>
              <w:rPr>
                <w:rStyle w:val="StrongEmphasis"/>
              </w:rPr>
              <w:t>Regression models for quantitative and qualitative predictors:</w:t>
            </w:r>
            <w:r>
              <w:rPr/>
              <w:t xml:space="preserve"> one continuous and one categorical predictor, interaction models. Case study.</w:t>
            </w:r>
          </w:p>
        </w:tc>
        <w:tc>
          <w:tcPr>
            <w:tcW w:w="2476" w:type="dxa"/>
            <w:tcBorders/>
            <w:vAlign w:val="center"/>
          </w:tcPr>
          <w:p>
            <w:pPr>
              <w:pStyle w:val="TableContents"/>
              <w:widowControl w:val="false"/>
              <w:suppressLineNumbers/>
              <w:spacing w:before="0" w:after="160"/>
              <w:rPr/>
            </w:pPr>
            <w:r>
              <w:rPr>
                <w:rStyle w:val="StrongEmphasis"/>
              </w:rPr>
              <w:t>Quiz 2</w:t>
            </w:r>
            <w:r>
              <w:rPr/>
              <w:t xml:space="preserve"> (tutorial), Assignment 3 released, </w:t>
            </w:r>
            <w:r>
              <w:rPr>
                <w:rStyle w:val="StrongEmphasis"/>
              </w:rPr>
              <w:t>project groups and datasets due (Nov 6)</w:t>
            </w:r>
          </w:p>
        </w:tc>
      </w:tr>
      <w:tr>
        <w:trPr/>
        <w:tc>
          <w:tcPr>
            <w:tcW w:w="696" w:type="dxa"/>
            <w:tcBorders/>
            <w:vAlign w:val="center"/>
          </w:tcPr>
          <w:p>
            <w:pPr>
              <w:pStyle w:val="TableContents"/>
              <w:widowControl w:val="false"/>
              <w:suppressLineNumbers/>
              <w:spacing w:before="0" w:after="160"/>
              <w:rPr/>
            </w:pPr>
            <w:r>
              <w:rPr>
                <w:rStyle w:val="StrongEmphasis"/>
              </w:rPr>
              <w:t>9</w:t>
            </w:r>
          </w:p>
        </w:tc>
        <w:tc>
          <w:tcPr>
            <w:tcW w:w="802" w:type="dxa"/>
            <w:tcBorders/>
            <w:vAlign w:val="center"/>
          </w:tcPr>
          <w:p>
            <w:pPr>
              <w:pStyle w:val="TableContents"/>
              <w:widowControl w:val="false"/>
              <w:suppressLineNumbers/>
              <w:spacing w:before="0" w:after="160"/>
              <w:rPr/>
            </w:pPr>
            <w:r>
              <w:rPr/>
              <w:t>Nov 11, 13</w:t>
            </w:r>
          </w:p>
        </w:tc>
        <w:tc>
          <w:tcPr>
            <w:tcW w:w="5386" w:type="dxa"/>
            <w:tcBorders/>
            <w:vAlign w:val="center"/>
          </w:tcPr>
          <w:p>
            <w:pPr>
              <w:pStyle w:val="TableContents"/>
              <w:widowControl w:val="false"/>
              <w:suppressLineNumbers/>
              <w:spacing w:before="0" w:after="160"/>
              <w:rPr/>
            </w:pPr>
            <w:r>
              <w:rPr>
                <w:rStyle w:val="StrongEmphasis"/>
              </w:rPr>
              <w:t>Polynomial regression models:</w:t>
            </w:r>
            <w:r>
              <w:rPr/>
              <w:t> second and higher order, several predictors, centred predictors. Variable transformations.</w:t>
            </w:r>
          </w:p>
        </w:tc>
        <w:tc>
          <w:tcPr>
            <w:tcW w:w="2476" w:type="dxa"/>
            <w:tcBorders/>
            <w:vAlign w:val="center"/>
          </w:tcPr>
          <w:p>
            <w:pPr>
              <w:pStyle w:val="TableContents"/>
              <w:widowControl w:val="false"/>
              <w:suppressLineNumbers/>
              <w:spacing w:before="0" w:after="160"/>
              <w:rPr/>
            </w:pPr>
            <w:r>
              <w:rPr>
                <w:rStyle w:val="StrongEmphasis"/>
              </w:rPr>
              <w:t>Project checkpoint due (Nov 13)</w:t>
            </w:r>
          </w:p>
        </w:tc>
      </w:tr>
      <w:tr>
        <w:trPr/>
        <w:tc>
          <w:tcPr>
            <w:tcW w:w="696" w:type="dxa"/>
            <w:tcBorders/>
            <w:vAlign w:val="center"/>
          </w:tcPr>
          <w:p>
            <w:pPr>
              <w:pStyle w:val="TableContents"/>
              <w:widowControl w:val="false"/>
              <w:suppressLineNumbers/>
              <w:spacing w:before="0" w:after="160"/>
              <w:rPr/>
            </w:pPr>
            <w:r>
              <w:rPr>
                <w:rStyle w:val="StrongEmphasis"/>
              </w:rPr>
              <w:t>10</w:t>
            </w:r>
          </w:p>
        </w:tc>
        <w:tc>
          <w:tcPr>
            <w:tcW w:w="802" w:type="dxa"/>
            <w:tcBorders/>
            <w:vAlign w:val="center"/>
          </w:tcPr>
          <w:p>
            <w:pPr>
              <w:pStyle w:val="TableContents"/>
              <w:widowControl w:val="false"/>
              <w:suppressLineNumbers/>
              <w:spacing w:before="0" w:after="160"/>
              <w:rPr/>
            </w:pPr>
            <w:r>
              <w:rPr/>
              <w:t>Nov 18, 20</w:t>
            </w:r>
          </w:p>
        </w:tc>
        <w:tc>
          <w:tcPr>
            <w:tcW w:w="5386" w:type="dxa"/>
            <w:tcBorders/>
            <w:vAlign w:val="center"/>
          </w:tcPr>
          <w:p>
            <w:pPr>
              <w:pStyle w:val="TableContents"/>
              <w:widowControl w:val="false"/>
              <w:suppressLineNumbers/>
              <w:spacing w:before="0" w:after="160"/>
              <w:rPr/>
            </w:pPr>
            <w:r>
              <w:rPr>
                <w:rStyle w:val="StrongEmphasis"/>
              </w:rPr>
              <w:t>Model selection and validation:</w:t>
            </w:r>
            <w:r>
              <w:rPr/>
              <w:t> criteria for model selection, selection procedures, validation. </w:t>
            </w:r>
            <w:r>
              <w:rPr>
                <w:rStyle w:val="StrongEmphasis"/>
              </w:rPr>
              <w:t>Diagnostics II:</w:t>
            </w:r>
            <w:r>
              <w:rPr/>
              <w:t> outlying Y observations, outlying X observations, leverage.</w:t>
            </w:r>
          </w:p>
        </w:tc>
        <w:tc>
          <w:tcPr>
            <w:tcW w:w="2476" w:type="dxa"/>
            <w:tcBorders/>
            <w:vAlign w:val="center"/>
          </w:tcPr>
          <w:p>
            <w:pPr>
              <w:pStyle w:val="TableContents"/>
              <w:widowControl w:val="false"/>
              <w:suppressLineNumbers/>
              <w:spacing w:before="0" w:after="160"/>
              <w:rPr/>
            </w:pPr>
            <w:r>
              <w:rPr/>
              <w:t>Assignment 3 due (Nov 18)</w:t>
            </w:r>
          </w:p>
        </w:tc>
      </w:tr>
      <w:tr>
        <w:trPr/>
        <w:tc>
          <w:tcPr>
            <w:tcW w:w="696" w:type="dxa"/>
            <w:tcBorders/>
            <w:vAlign w:val="center"/>
          </w:tcPr>
          <w:p>
            <w:pPr>
              <w:pStyle w:val="TableContents"/>
              <w:widowControl w:val="false"/>
              <w:suppressLineNumbers/>
              <w:spacing w:before="0" w:after="160"/>
              <w:rPr/>
            </w:pPr>
            <w:r>
              <w:rPr>
                <w:rStyle w:val="StrongEmphasis"/>
              </w:rPr>
              <w:t>11</w:t>
            </w:r>
          </w:p>
        </w:tc>
        <w:tc>
          <w:tcPr>
            <w:tcW w:w="802" w:type="dxa"/>
            <w:tcBorders/>
            <w:vAlign w:val="center"/>
          </w:tcPr>
          <w:p>
            <w:pPr>
              <w:pStyle w:val="TableContents"/>
              <w:widowControl w:val="false"/>
              <w:suppressLineNumbers/>
              <w:spacing w:before="0" w:after="160"/>
              <w:rPr/>
            </w:pPr>
            <w:r>
              <w:rPr/>
              <w:t>Nov 25, 27</w:t>
            </w:r>
          </w:p>
        </w:tc>
        <w:tc>
          <w:tcPr>
            <w:tcW w:w="5386" w:type="dxa"/>
            <w:tcBorders/>
            <w:vAlign w:val="center"/>
          </w:tcPr>
          <w:p>
            <w:pPr>
              <w:pStyle w:val="TableContents"/>
              <w:widowControl w:val="false"/>
              <w:suppressLineNumbers/>
              <w:spacing w:before="0" w:after="160"/>
              <w:rPr/>
            </w:pPr>
            <w:r>
              <w:rPr>
                <w:rStyle w:val="StrongEmphasis"/>
              </w:rPr>
              <w:t>Diagnostics III:</w:t>
            </w:r>
            <w:r>
              <w:rPr/>
              <w:t> influential observations, multicollinearity diagnostics. </w:t>
            </w:r>
            <w:r>
              <w:rPr>
                <w:rStyle w:val="StrongEmphasis"/>
              </w:rPr>
              <w:t>Remedial measures:</w:t>
            </w:r>
            <w:r>
              <w:rPr/>
              <w:t> weighted least squares.</w:t>
            </w:r>
          </w:p>
        </w:tc>
        <w:tc>
          <w:tcPr>
            <w:tcW w:w="2476" w:type="dxa"/>
            <w:tcBorders/>
            <w:vAlign w:val="center"/>
          </w:tcPr>
          <w:p>
            <w:pPr>
              <w:pStyle w:val="TableContents"/>
              <w:widowControl w:val="false"/>
              <w:suppressLineNumbers/>
              <w:spacing w:before="0" w:after="160"/>
              <w:rPr/>
            </w:pPr>
            <w:r>
              <w:rPr>
                <w:rStyle w:val="StrongEmphasis"/>
              </w:rPr>
              <w:t>Quiz 3</w:t>
            </w:r>
            <w:r>
              <w:rPr/>
              <w:t xml:space="preserve"> (tutorial), </w:t>
            </w:r>
            <w:r>
              <w:rPr>
                <w:rStyle w:val="StrongEmphasis"/>
              </w:rPr>
              <w:t>project report due (Nov 27)</w:t>
            </w:r>
          </w:p>
        </w:tc>
      </w:tr>
      <w:tr>
        <w:trPr/>
        <w:tc>
          <w:tcPr>
            <w:tcW w:w="696" w:type="dxa"/>
            <w:tcBorders/>
            <w:vAlign w:val="center"/>
          </w:tcPr>
          <w:p>
            <w:pPr>
              <w:pStyle w:val="TableContents"/>
              <w:widowControl w:val="false"/>
              <w:suppressLineNumbers/>
              <w:spacing w:before="0" w:after="160"/>
              <w:rPr/>
            </w:pPr>
            <w:r>
              <w:rPr>
                <w:rStyle w:val="StrongEmphasis"/>
              </w:rPr>
              <w:t>12</w:t>
            </w:r>
          </w:p>
        </w:tc>
        <w:tc>
          <w:tcPr>
            <w:tcW w:w="802" w:type="dxa"/>
            <w:tcBorders/>
            <w:vAlign w:val="center"/>
          </w:tcPr>
          <w:p>
            <w:pPr>
              <w:pStyle w:val="TableContents"/>
              <w:widowControl w:val="false"/>
              <w:suppressLineNumbers/>
              <w:spacing w:before="0" w:after="160"/>
              <w:rPr/>
            </w:pPr>
            <w:r>
              <w:rPr/>
              <w:t>Dec 2, 4</w:t>
            </w:r>
          </w:p>
        </w:tc>
        <w:tc>
          <w:tcPr>
            <w:tcW w:w="5386" w:type="dxa"/>
            <w:tcBorders/>
            <w:vAlign w:val="center"/>
          </w:tcPr>
          <w:p>
            <w:pPr>
              <w:pStyle w:val="TableContents"/>
              <w:widowControl w:val="false"/>
              <w:suppressLineNumbers/>
              <w:spacing w:before="0" w:after="160"/>
              <w:rPr/>
            </w:pPr>
            <w:r>
              <w:rPr>
                <w:rStyle w:val="StrongEmphasis"/>
              </w:rPr>
              <w:t>Shrinkage methods:</w:t>
            </w:r>
            <w:r>
              <w:rPr/>
              <w:t> the bias–variance trade-off, ridge regression and the LASSO, choosing the penalty by cross-validation. Course review.</w:t>
            </w:r>
          </w:p>
        </w:tc>
        <w:tc>
          <w:tcPr>
            <w:tcW w:w="2476" w:type="dxa"/>
            <w:tcBorders/>
            <w:vAlign w:val="center"/>
          </w:tcPr>
          <w:p>
            <w:pPr>
              <w:pStyle w:val="TableContents"/>
              <w:widowControl w:val="false"/>
              <w:suppressLineNumbers/>
              <w:spacing w:before="0" w:after="160"/>
              <w:rPr/>
            </w:pPr>
            <w:r>
              <w:rPr>
                <w:rStyle w:val="StrongEmphasis"/>
              </w:rPr>
              <w:t>Project presentations</w:t>
            </w:r>
          </w:p>
        </w:tc>
      </w:tr>
      <w:tr>
        <w:trPr/>
        <w:tc>
          <w:tcPr>
            <w:tcW w:w="696" w:type="dxa"/>
            <w:tcBorders/>
            <w:vAlign w:val="center"/>
          </w:tcPr>
          <w:p>
            <w:pPr>
              <w:pStyle w:val="TableContents"/>
              <w:widowControl w:val="false"/>
              <w:suppressLineNumbers/>
              <w:spacing w:before="0" w:after="160"/>
              <w:rPr/>
            </w:pPr>
            <w:r>
              <w:rPr/>
              <w:t> </w:t>
            </w:r>
          </w:p>
        </w:tc>
        <w:tc>
          <w:tcPr>
            <w:tcW w:w="802" w:type="dxa"/>
            <w:tcBorders/>
            <w:vAlign w:val="center"/>
          </w:tcPr>
          <w:p>
            <w:pPr>
              <w:pStyle w:val="TableContents"/>
              <w:widowControl w:val="false"/>
              <w:suppressLineNumbers/>
              <w:spacing w:before="0" w:after="160"/>
              <w:rPr/>
            </w:pPr>
            <w:r>
              <w:rPr/>
              <w:t>Dec 10–22</w:t>
            </w:r>
          </w:p>
        </w:tc>
        <w:tc>
          <w:tcPr>
            <w:tcW w:w="5386" w:type="dxa"/>
            <w:tcBorders/>
            <w:vAlign w:val="center"/>
          </w:tcPr>
          <w:p>
            <w:pPr>
              <w:pStyle w:val="TableContents"/>
              <w:widowControl w:val="false"/>
              <w:suppressLineNumbers/>
              <w:spacing w:before="0" w:after="160"/>
              <w:rPr/>
            </w:pPr>
            <w:r>
              <w:rPr/>
              <w:t> </w:t>
            </w:r>
          </w:p>
        </w:tc>
        <w:tc>
          <w:tcPr>
            <w:tcW w:w="2476" w:type="dxa"/>
            <w:tcBorders/>
            <w:vAlign w:val="center"/>
          </w:tcPr>
          <w:p>
            <w:pPr>
              <w:pStyle w:val="TableContents"/>
              <w:widowControl w:val="false"/>
              <w:suppressLineNumbers/>
              <w:spacing w:before="0" w:after="160"/>
              <w:rPr/>
            </w:pPr>
            <w:r>
              <w:rPr>
                <w:rStyle w:val="StrongEmphasis"/>
              </w:rPr>
              <w:t>Final Exam</w:t>
            </w:r>
          </w:p>
        </w:tc>
      </w:tr>
    </w:tbl>
    <w:p>
      <w:pPr>
        <w:pStyle w:val="Normal"/>
        <w:rPr/>
      </w:pPr>
      <w:r>
        <w:rPr/>
      </w:r>
    </w:p>
    <w:p>
      <w:pPr>
        <w:pStyle w:val="Normal"/>
        <w:rPr>
          <w:rFonts w:cs="Arial"/>
        </w:rPr>
      </w:pPr>
      <w:r>
        <w:rPr>
          <w:rFonts w:cs="Arial"/>
        </w:rPr>
      </w:r>
    </w:p>
    <w:p>
      <w:pPr>
        <w:pStyle w:val="Heading2"/>
        <w:rPr>
          <w:rFonts w:eastAsia="Arial"/>
          <w:color w:val="262626"/>
          <w:sz w:val="32"/>
        </w:rPr>
      </w:pPr>
      <w:r>
        <w:rPr/>
        <w:t>Policies &amp; Statements</w:t>
      </w:r>
    </w:p>
    <w:p>
      <w:pPr>
        <w:pStyle w:val="Heading3"/>
        <w:rPr/>
      </w:pPr>
      <w:r>
        <w:rPr/>
        <w:t>Academic Integrity</w:t>
      </w:r>
    </w:p>
    <w:p>
      <w:pPr>
        <w:pStyle w:val="TextBody"/>
        <w:rPr/>
      </w:pPr>
      <w:r>
        <w:rPr/>
        <w:t>The University treats cases of cheating and plagiarism very seriously. The University of Toronto's Code of Behaviour on Academic Matters (</w:t>
      </w:r>
      <w:hyperlink r:id="rId6" w:tgtFrame="_blank">
        <w:r>
          <w:rPr>
            <w:rStyle w:val="InternetLink"/>
          </w:rPr>
          <w:t>http://www.governingcouncil.utoronto.ca/policies/behaveac.htm</w:t>
        </w:r>
      </w:hyperlink>
      <w:r>
        <w:rPr/>
        <w:t>) outlines the behaviours that constitute academic dishonesty and the processes for addressing academic offences.</w:t>
        <w:br/>
        <w:br/>
        <w:t>Potential offences in papers and assignments include using someone else's ideas or words without appropriate acknowledgement, submitting your own work in more than one course without the permission of the instructor, making up sources or facts, obtaining or providing unauthorized assistance on any assignment.</w:t>
        <w:br/>
        <w:br/>
        <w:t>On tests and exams, cheating includes using or possessing unauthorized aids, looking at someone else's answers during an exam or test, misrepresenting your identity, or falsifying or altering any documentation required by the University.</w:t>
      </w:r>
    </w:p>
    <w:p>
      <w:pPr>
        <w:pStyle w:val="Heading3"/>
        <w:rPr/>
      </w:pPr>
      <w:r>
        <w:rPr/>
        <w:t>Accommodations</w:t>
      </w:r>
    </w:p>
    <w:p>
      <w:pPr>
        <w:pStyle w:val="TextBody"/>
        <w:rPr/>
      </w:pPr>
      <w:r>
        <w:rPr/>
        <w:t>Students with diverse learning styles and needs are welcome in this course. In particular, if you have a disability/health consideration that may require accommodations, please feel free to approach me and/or the AccessAbility Services Office as soon as possible.</w:t>
        <w:br/>
        <w:br/>
        <w:t xml:space="preserve">AccessAbility Services staff (located in Rm IA5105, Sam Ibrahim Building) are available by appointment to assess specific needs, provide referrals and arrange appropriate accommodations 416-287-7560 or email </w:t>
      </w:r>
      <w:hyperlink r:id="rId7" w:tgtFrame="_blank">
        <w:r>
          <w:rPr>
            <w:rStyle w:val="InternetLink"/>
          </w:rPr>
          <w:t>ability.utsc@utoronto.ca</w:t>
        </w:r>
      </w:hyperlink>
      <w:r>
        <w:rPr/>
        <w:t>. The sooner you let us know your needs the quicker we can assist you in achieving your learning goals in this course.</w:t>
      </w:r>
    </w:p>
    <w:p>
      <w:pPr>
        <w:pStyle w:val="Heading3"/>
        <w:rPr/>
      </w:pPr>
      <w:r>
        <w:rPr/>
        <w:t>Online Communication</w:t>
      </w:r>
    </w:p>
    <w:p>
      <w:pPr>
        <w:pStyle w:val="TextBody"/>
        <w:rPr/>
      </w:pPr>
      <w:r>
        <w:rPr/>
        <w:t>Questions about course content can be asked in lectures and tutorials, or directed to the course</w:t>
        <w:br/>
        <w:t>discussion board. We will be using Piazza as our primary discussion board for the course</w:t>
        <w:br/>
      </w:r>
      <w:hyperlink r:id="rId8">
        <w:r>
          <w:rPr>
            <w:rStyle w:val="InternetLink"/>
          </w:rPr>
          <w:t>https://piazza.com/utoronto.ca/fall2026/stac67/home</w:t>
        </w:r>
      </w:hyperlink>
      <w:r>
        <w:rPr/>
        <w:t> (access code, if required, will be posted on Quercus).</w:t>
        <w:br/>
        <w:t>Instructors and TAs will check in on a regular basis and selectively participate in discussions. Please</w:t>
        <w:br/>
        <w:t>do not email questions about course content to instructors or TAs.</w:t>
        <w:br/>
        <w:t>Questions regarding personal matters should be directly addressed to the instructor by email and from your UofT mailing account. Before sending an email, make sure that you are not asking for information that is already available in</w:t>
        <w:br/>
        <w:t>the course outline/website/announcements. All student emails to instructors/TAs should include:</w:t>
      </w:r>
    </w:p>
    <w:p>
      <w:pPr>
        <w:pStyle w:val="TextBody"/>
        <w:numPr>
          <w:ilvl w:val="0"/>
          <w:numId w:val="4"/>
        </w:numPr>
        <w:tabs>
          <w:tab w:val="clear" w:pos="720"/>
          <w:tab w:val="left" w:pos="0" w:leader="none"/>
        </w:tabs>
        <w:spacing w:before="0" w:after="0"/>
        <w:ind w:left="709" w:hanging="283"/>
        <w:rPr/>
      </w:pPr>
      <w:r>
        <w:rPr/>
        <w:t xml:space="preserve">the course code and term in the subject (e.g., [STAC67]), and </w:t>
      </w:r>
    </w:p>
    <w:p>
      <w:pPr>
        <w:pStyle w:val="TextBody"/>
        <w:numPr>
          <w:ilvl w:val="0"/>
          <w:numId w:val="4"/>
        </w:numPr>
        <w:tabs>
          <w:tab w:val="clear" w:pos="720"/>
          <w:tab w:val="left" w:pos="0" w:leader="none"/>
        </w:tabs>
        <w:ind w:left="709" w:hanging="283"/>
        <w:rPr/>
      </w:pPr>
      <w:r>
        <w:rPr/>
        <w:t xml:space="preserve">your student number in the body or signature. </w:t>
      </w:r>
    </w:p>
    <w:p>
      <w:pPr>
        <w:pStyle w:val="TextBody"/>
        <w:rPr>
          <w:rFonts w:eastAsia="Arial" w:cs="Arial"/>
        </w:rPr>
      </w:pPr>
      <w:r>
        <w:rPr/>
        <w:t>If either is missing, your email will not be considered. Allow at least 48hr for a response before following up.</w:t>
      </w:r>
    </w:p>
    <w:p>
      <w:pPr>
        <w:pStyle w:val="Heading3"/>
        <w:rPr/>
      </w:pPr>
      <w:r>
        <w:rPr/>
        <w:t>Equity, Diversity and Inclusion</w:t>
      </w:r>
    </w:p>
    <w:p>
      <w:pPr>
        <w:pStyle w:val="TextBody"/>
        <w:rPr/>
      </w:pPr>
      <w:r>
        <w:rPr/>
        <w:t>The University of Toronto is committed to equity, human rights and respect for diversity. All members of the learning environment in this course should strive to create an atmosphere of mutual respect where all members of our community can express themselves, engage with each other, and respect one another's differences. U of T does not condone discrimination or harassment against any persons or communities.</w:t>
        <w:br/>
        <w:br/>
        <w:t>The University of Toronto is a richly diverse community and as such is committed to providing an environment free of any form of harassment, misconduct, or discrimination. In this course, I seek to foster a civil, respectful, and open-minded climate in which we can all work together to develop a better understanding of key questions and debates through meaningful dialogue. As such, I expect all involved with this course to refrain from actions or behaviours that intimidate, humiliate, or demean persons or groups or that undermine their security or self-esteem based on traits related to race, religion, ancestry, place of origin, colour, ethnic origin, citizenship, creed, sex, sexual orientation, gender identity, gender expression, age, marital status, family status, disability, receipt of public assistance or record of offences.</w:t>
      </w:r>
    </w:p>
    <w:p>
      <w:pPr>
        <w:pStyle w:val="Heading3"/>
        <w:rPr/>
      </w:pPr>
      <w:r>
        <w:rPr/>
        <w:t>University Land Acknowledgement</w:t>
      </w:r>
    </w:p>
    <w:p>
      <w:pPr>
        <w:pStyle w:val="TextBody"/>
        <w:rPr/>
      </w:pPr>
      <w:r>
        <w:rPr/>
        <w:t>I wish to acknowledge this land on which the University of Toronto operates. For thousands of years, it has been the traditional land of the Huron-Wendat, the Seneca, and the Mississaugas of the Credit. Today, this meeting place is still the home to many Indigenous people from across Turtle Island and we are grateful to have the opportunity to work on this land.</w:t>
      </w:r>
    </w:p>
    <w:p>
      <w:pPr>
        <w:pStyle w:val="Heading3"/>
        <w:rPr/>
      </w:pPr>
      <w:r>
        <w:rPr/>
        <w:t>Use of Generative Artificial Intelligence Tools</w:t>
      </w:r>
    </w:p>
    <w:p>
      <w:pPr>
        <w:pStyle w:val="TextBody"/>
        <w:rPr/>
      </w:pPr>
      <w:r>
        <w:rPr/>
        <w:t>Students may use artificial intelligence tools, including generative AI, in this course as learning aids or to help produce assignments. However, students are ultimately accountable for the work they submit.</w:t>
        <w:br/>
        <w:br/>
        <w:t>Students may not use artificial intelligence tools for taking tests or completing major course assignments. However, these tools may be useful when gathering information from across sources and assimilating it for understanding.</w:t>
        <w:br/>
        <w:br/>
        <w:t>The knowing use of generative artificial intelligence tools, including ChatGPT and other AI writing and coding assistants, for the completion of, or to support the completion of, an examination, term test or any other form of academic assessment, may be considered an academic offense in this course.</w:t>
      </w:r>
    </w:p>
    <w:p>
      <w:pPr>
        <w:pStyle w:val="Heading3"/>
        <w:rPr/>
      </w:pPr>
      <w:r>
        <w:rPr/>
        <w:t>Video Recording and Sharing (Download and Re-use Prohibited)</w:t>
      </w:r>
    </w:p>
    <w:p>
      <w:pPr>
        <w:pStyle w:val="TextBody"/>
        <w:rPr/>
      </w:pPr>
      <w:r>
        <w:rPr/>
        <w:t>This course, including your participation, will be recorded on video and will be available to students in the course for viewing remotely and after each session.</w:t>
        <w:br/>
        <w:br/>
        <w:t>Course videos and materials belong to your instructor, the University, and/or other sources depending on the specific facts of each situation and are protected by copyright. Do not download, copy, or share any course or student materials or videos without the explicit permission of the instructor.</w:t>
        <w:br/>
        <w:br/>
        <w:t>For questions about the recording and use of videos in which you appear, please contact your instructor.</w:t>
      </w:r>
    </w:p>
    <w:p>
      <w:pPr>
        <w:pStyle w:val="Normal"/>
        <w:widowControl/>
        <w:suppressAutoHyphens w:val="true"/>
        <w:bidi w:val="0"/>
        <w:spacing w:lineRule="auto" w:line="259" w:before="0" w:after="160"/>
        <w:jc w:val="left"/>
        <w:rPr/>
      </w:pPr>
      <w:r>
        <w:rPr/>
      </w:r>
    </w:p>
    <w:sectPr>
      <w:headerReference w:type="default" r:id="rId9"/>
      <w:headerReference w:type="first" r:id="rId10"/>
      <w:footerReference w:type="default" r:id="rId11"/>
      <w:footerReference w:type="first" r:id="rId12"/>
      <w:type w:val="nextPage"/>
      <w:pgSz w:w="12240" w:h="15840"/>
      <w:pgMar w:left="1440" w:right="1440" w:gutter="0" w:header="720" w:top="777" w:footer="720" w:bottom="77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font>
  <w:font w:name="Liberation Serif">
    <w:altName w:val="Times New Roman"/>
    <w:charset w:val="01"/>
    <w:family w:val="roman"/>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Arial">
    <w:charset w:val="01"/>
    <w:family w:val="roman"/>
    <w:pitch w:val="variable"/>
  </w:font>
  <w:font w:name="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Courier New">
    <w:charset w:val="01"/>
    <w:family w:val="roman"/>
    <w:pitch w:val="variable"/>
  </w:font>
  <w:font w:name="OpenSymbol">
    <w:altName w:val="Arial Unicode MS"/>
    <w:charset w:val="02"/>
    <w:family w:val="auto"/>
    <w:pitch w:val="default"/>
    <w:embedRegular r:id="rId10" w:fontKey="{0A014A78-CABC-4EF0-12AC-5CD89AEFDE0A}"/>
  </w:font>
  <w:font w:name="Liberation Sans">
    <w:altName w:val="Arial"/>
    <w:charset w:val="01"/>
    <w:family w:val="roman"/>
    <w:pitch w:val="variable"/>
    <w:embedRegular r:id="rId11" w:fontKey="{0B014A78-CABC-4EF0-12AC-5CD89AEFDE0B}"/>
    <w:embedBold r:id="rId12" w:fontKey="{0C014A78-CABC-4EF0-12AC-5CD89AEFDE0C}"/>
    <w:embedItalic r:id="rId13" w:fontKey="{0D014A78-CABC-4EF0-12AC-5CD89AEFDE0D}"/>
    <w:embedBoldItalic r:id="rId14" w:fontKey="{0E014A78-CABC-4EF0-12AC-5CD89AEFDE0E}"/>
  </w:font>
  <w:font w:name="Symbol">
    <w:charset w:val="02"/>
    <w:family w:val="auto"/>
    <w:pitch w:val="default"/>
    <w:embedRegular r:id="rId15" w:fontKey="{0F014A78-CABC-4EF0-12AC-5CD89AEFDE0F}"/>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80"/>
        <w:tab w:val="right" w:pos="9360" w:leader="none"/>
      </w:tabs>
      <w:rPr/>
    </w:pPr>
    <w:r>
      <w:rPr>
        <w:color w:val="808080"/>
        <w:sz w:val="20"/>
        <w:szCs w:val="20"/>
      </w:rPr>
      <w:t xml:space="preserve">STAC67H3 F Syllabus – Valid as of </w:t>
    </w:r>
    <w:r>
      <w:rPr>
        <w:color w:val="808080"/>
        <w:sz w:val="20"/>
        <w:szCs w:val="20"/>
      </w:rPr>
      <w:fldChar w:fldCharType="begin"/>
    </w:r>
    <w:r>
      <w:rPr>
        <w:sz w:val="20"/>
        <w:szCs w:val="20"/>
        <w:color w:val="808080"/>
      </w:rPr>
      <w:instrText xml:space="preserve"> DATE \@"yyyy-MM-dd" </w:instrText>
    </w:r>
    <w:r>
      <w:rPr>
        <w:sz w:val="20"/>
        <w:szCs w:val="20"/>
        <w:color w:val="808080"/>
      </w:rPr>
      <w:fldChar w:fldCharType="separate"/>
    </w:r>
    <w:r>
      <w:rPr>
        <w:sz w:val="20"/>
        <w:szCs w:val="20"/>
        <w:color w:val="808080"/>
      </w:rPr>
      <w:t>2026-09-02</w:t>
    </w:r>
    <w:r>
      <w:rPr>
        <w:sz w:val="20"/>
        <w:szCs w:val="20"/>
        <w:color w:val="808080"/>
      </w:rPr>
      <w:fldChar w:fldCharType="end"/>
    </w:r>
    <w:r>
      <w:rPr>
        <w:color w:val="808080"/>
        <w:sz w:val="20"/>
        <w:szCs w:val="20"/>
      </w:rPr>
      <w:tab/>
      <w:t xml:space="preserve">Page </w:t>
    </w:r>
    <w:r>
      <w:rPr>
        <w:color w:val="808080"/>
        <w:sz w:val="20"/>
        <w:szCs w:val="20"/>
      </w:rPr>
      <w:fldChar w:fldCharType="begin"/>
    </w:r>
    <w:r>
      <w:rPr>
        <w:sz w:val="20"/>
        <w:szCs w:val="20"/>
        <w:color w:val="808080"/>
      </w:rPr>
      <w:instrText xml:space="preserve"> PAGE </w:instrText>
    </w:r>
    <w:r>
      <w:rPr>
        <w:sz w:val="20"/>
        <w:szCs w:val="20"/>
        <w:color w:val="808080"/>
      </w:rPr>
      <w:fldChar w:fldCharType="separate"/>
    </w:r>
    <w:r>
      <w:rPr>
        <w:sz w:val="20"/>
        <w:szCs w:val="20"/>
        <w:color w:val="808080"/>
      </w:rPr>
      <w:t>8</w:t>
    </w:r>
    <w:r>
      <w:rPr>
        <w:sz w:val="20"/>
        <w:szCs w:val="20"/>
        <w:color w:val="808080"/>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80"/>
        <w:tab w:val="right" w:pos="9360" w:leader="none"/>
      </w:tabs>
      <w:rPr/>
    </w:pPr>
    <w:r>
      <w:rPr>
        <w:color w:val="808080"/>
        <w:sz w:val="20"/>
        <w:szCs w:val="20"/>
      </w:rPr>
      <w:t xml:space="preserve">STAC67H3 F Syllabus – Valid as of </w:t>
    </w:r>
    <w:r>
      <w:rPr>
        <w:color w:val="808080"/>
        <w:sz w:val="20"/>
        <w:szCs w:val="20"/>
      </w:rPr>
      <w:fldChar w:fldCharType="begin"/>
    </w:r>
    <w:r>
      <w:rPr>
        <w:sz w:val="20"/>
        <w:szCs w:val="20"/>
        <w:color w:val="808080"/>
      </w:rPr>
      <w:instrText xml:space="preserve"> DATE \@"yyyy-MM-dd" </w:instrText>
    </w:r>
    <w:r>
      <w:rPr>
        <w:sz w:val="20"/>
        <w:szCs w:val="20"/>
        <w:color w:val="808080"/>
      </w:rPr>
      <w:fldChar w:fldCharType="separate"/>
    </w:r>
    <w:r>
      <w:rPr>
        <w:sz w:val="20"/>
        <w:szCs w:val="20"/>
        <w:color w:val="808080"/>
      </w:rPr>
      <w:t>2026-09-02</w:t>
    </w:r>
    <w:r>
      <w:rPr>
        <w:sz w:val="20"/>
        <w:szCs w:val="20"/>
        <w:color w:val="808080"/>
      </w:rPr>
      <w:fldChar w:fldCharType="end"/>
    </w:r>
    <w:r>
      <w:rPr>
        <w:color w:val="808080"/>
        <w:sz w:val="20"/>
        <w:szCs w:val="20"/>
      </w:rPr>
      <w:tab/>
      <w:t xml:space="preserve">Page </w:t>
    </w:r>
    <w:r>
      <w:rPr>
        <w:color w:val="808080"/>
        <w:sz w:val="20"/>
        <w:szCs w:val="20"/>
      </w:rPr>
      <w:fldChar w:fldCharType="begin"/>
    </w:r>
    <w:r>
      <w:rPr>
        <w:sz w:val="20"/>
        <w:szCs w:val="20"/>
        <w:color w:val="808080"/>
      </w:rPr>
      <w:instrText xml:space="preserve"> PAGE </w:instrText>
    </w:r>
    <w:r>
      <w:rPr>
        <w:sz w:val="20"/>
        <w:szCs w:val="20"/>
        <w:color w:val="808080"/>
      </w:rPr>
      <w:fldChar w:fldCharType="separate"/>
    </w:r>
    <w:r>
      <w:rPr>
        <w:sz w:val="20"/>
        <w:szCs w:val="20"/>
        <w:color w:val="808080"/>
      </w:rPr>
      <w:t>1</w:t>
    </w:r>
    <w:r>
      <w:rPr>
        <w:sz w:val="20"/>
        <w:szCs w:val="20"/>
        <w:color w:val="80808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360" w:type="dxa"/>
      <w:jc w:val="left"/>
      <w:tblInd w:w="0" w:type="dxa"/>
      <w:tblLayout w:type="fixed"/>
      <w:tblCellMar>
        <w:top w:w="0" w:type="dxa"/>
        <w:left w:w="108" w:type="dxa"/>
        <w:bottom w:w="0" w:type="dxa"/>
        <w:right w:w="108" w:type="dxa"/>
      </w:tblCellMar>
    </w:tblPr>
    <w:tblGrid>
      <w:gridCol w:w="3120"/>
      <w:gridCol w:w="3120"/>
      <w:gridCol w:w="3120"/>
    </w:tblGrid>
    <w:tr>
      <w:trPr/>
      <w:tc>
        <w:tcPr>
          <w:tcW w:w="3120" w:type="dxa"/>
          <w:tcBorders/>
        </w:tcPr>
        <w:p>
          <w:pPr>
            <w:pStyle w:val="Header"/>
            <w:widowControl w:val="false"/>
            <w:ind w:left="-115" w:right="0" w:hanging="0"/>
            <w:rPr/>
          </w:pPr>
          <w:r>
            <w:rPr/>
          </w:r>
        </w:p>
      </w:tc>
      <w:tc>
        <w:tcPr>
          <w:tcW w:w="3120" w:type="dxa"/>
          <w:tcBorders/>
        </w:tcPr>
        <w:p>
          <w:pPr>
            <w:pStyle w:val="Header"/>
            <w:widowControl w:val="false"/>
            <w:jc w:val="center"/>
            <w:rPr/>
          </w:pPr>
          <w:r>
            <w:rPr/>
          </w:r>
        </w:p>
      </w:tc>
      <w:tc>
        <w:tcPr>
          <w:tcW w:w="3120" w:type="dxa"/>
          <w:tcBorders/>
        </w:tcPr>
        <w:p>
          <w:pPr>
            <w:pStyle w:val="Header"/>
            <w:widowControl w:val="false"/>
            <w:ind w:left="0" w:right="-115" w:hanging="0"/>
            <w:jc w:val="right"/>
            <w:rPr/>
          </w:pPr>
          <w:r>
            <w:rPr/>
          </w:r>
        </w:p>
      </w:tc>
    </w:tr>
  </w:tbl>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TMLPreformatted"/>
      <w:shd w:fill="FFFFFF" w:val="clear"/>
      <w:rPr>
        <w:rFonts w:ascii="Arial" w:hAnsi="Arial" w:cs="Arial"/>
      </w:rPr>
    </w:pPr>
    <w:r>
      <w:rPr>
        <w:rFonts w:cs="Arial" w:ascii="Arial" w:hAnsi="Arial"/>
      </w:rPr>
      <w:t>University of Toronto Scarborough - Dept. of Computer &amp; Mathematical Sci</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lowerLetter"/>
      <w:lvlText w:val="%1."/>
      <w:lvlJc w:val="left"/>
      <w:pPr>
        <w:tabs>
          <w:tab w:val="num" w:pos="709"/>
        </w:tabs>
        <w:ind w:left="709" w:hanging="283"/>
      </w:pPr>
      <w:rPr/>
    </w:lvl>
    <w:lvl w:ilvl="1">
      <w:start w:val="1"/>
      <w:numFmt w:val="lowerLetter"/>
      <w:lvlText w:val="%2."/>
      <w:lvlJc w:val="left"/>
      <w:pPr>
        <w:tabs>
          <w:tab w:val="num" w:pos="1418"/>
        </w:tabs>
        <w:ind w:left="1418" w:hanging="283"/>
      </w:pPr>
      <w:rPr/>
    </w:lvl>
    <w:lvl w:ilvl="2">
      <w:start w:val="1"/>
      <w:numFmt w:val="lowerLetter"/>
      <w:lvlText w:val="%3."/>
      <w:lvlJc w:val="left"/>
      <w:pPr>
        <w:tabs>
          <w:tab w:val="num" w:pos="2127"/>
        </w:tabs>
        <w:ind w:left="2127" w:hanging="283"/>
      </w:pPr>
      <w:rPr/>
    </w:lvl>
    <w:lvl w:ilvl="3">
      <w:start w:val="1"/>
      <w:numFmt w:val="lowerLetter"/>
      <w:lvlText w:val="%4."/>
      <w:lvlJc w:val="left"/>
      <w:pPr>
        <w:tabs>
          <w:tab w:val="num" w:pos="2836"/>
        </w:tabs>
        <w:ind w:left="2836" w:hanging="283"/>
      </w:pPr>
      <w:rPr/>
    </w:lvl>
    <w:lvl w:ilvl="4">
      <w:start w:val="1"/>
      <w:numFmt w:val="lowerLetter"/>
      <w:lvlText w:val="%5."/>
      <w:lvlJc w:val="left"/>
      <w:pPr>
        <w:tabs>
          <w:tab w:val="num" w:pos="3545"/>
        </w:tabs>
        <w:ind w:left="3545" w:hanging="283"/>
      </w:pPr>
      <w:rPr/>
    </w:lvl>
    <w:lvl w:ilvl="5">
      <w:start w:val="1"/>
      <w:numFmt w:val="lowerLetter"/>
      <w:lvlText w:val="%6."/>
      <w:lvlJc w:val="left"/>
      <w:pPr>
        <w:tabs>
          <w:tab w:val="num" w:pos="4254"/>
        </w:tabs>
        <w:ind w:left="4254" w:hanging="283"/>
      </w:pPr>
      <w:rPr/>
    </w:lvl>
    <w:lvl w:ilvl="6">
      <w:start w:val="1"/>
      <w:numFmt w:val="lowerLetter"/>
      <w:lvlText w:val="%7."/>
      <w:lvlJc w:val="left"/>
      <w:pPr>
        <w:tabs>
          <w:tab w:val="num" w:pos="4963"/>
        </w:tabs>
        <w:ind w:left="4963" w:hanging="283"/>
      </w:pPr>
      <w:rPr/>
    </w:lvl>
    <w:lvl w:ilvl="7">
      <w:start w:val="1"/>
      <w:numFmt w:val="lowerLetter"/>
      <w:lvlText w:val="%8."/>
      <w:lvlJc w:val="left"/>
      <w:pPr>
        <w:tabs>
          <w:tab w:val="num" w:pos="5672"/>
        </w:tabs>
        <w:ind w:left="5672" w:hanging="283"/>
      </w:pPr>
      <w:rPr/>
    </w:lvl>
    <w:lvl w:ilvl="8">
      <w:start w:val="1"/>
      <w:numFmt w:val="lowerLetter"/>
      <w:lvlText w:val="%9."/>
      <w:lvlJc w:val="left"/>
      <w:pPr>
        <w:tabs>
          <w:tab w:val="num" w:pos="6381"/>
        </w:tabs>
        <w:ind w:left="6381" w:hanging="283"/>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TrueTypeFonts/>
  <w:embedSystemFonts/>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sz w:val="22"/>
        <w:szCs w:val="22"/>
        <w:lang w:val="en-CA" w:eastAsia="ja-JP"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lineRule="auto" w:line="259" w:before="0" w:after="160"/>
      <w:jc w:val="left"/>
    </w:pPr>
    <w:rPr>
      <w:rFonts w:ascii="Arial" w:hAnsi="Arial" w:eastAsia="Arial" w:cs="DejaVu Sans"/>
      <w:color w:val="auto"/>
      <w:kern w:val="0"/>
      <w:sz w:val="22"/>
      <w:szCs w:val="22"/>
      <w:lang w:val="en-CA" w:eastAsia="ja-JP" w:bidi="ar-SA"/>
    </w:rPr>
  </w:style>
  <w:style w:type="paragraph" w:styleId="Heading1">
    <w:name w:val="Heading 1"/>
    <w:basedOn w:val="Normal"/>
    <w:next w:val="Normal"/>
    <w:qFormat/>
    <w:pPr>
      <w:keepNext w:val="true"/>
      <w:keepLines/>
      <w:numPr>
        <w:ilvl w:val="0"/>
        <w:numId w:val="0"/>
      </w:numPr>
      <w:spacing w:before="360" w:after="360"/>
      <w:outlineLvl w:val="0"/>
    </w:pPr>
    <w:rPr>
      <w:rFonts w:ascii="Arial" w:hAnsi="Arial" w:eastAsia="Arial" w:cs="DejaVu Sans"/>
      <w:b/>
      <w:color w:val="002A5C"/>
      <w:sz w:val="28"/>
      <w:szCs w:val="32"/>
    </w:rPr>
  </w:style>
  <w:style w:type="paragraph" w:styleId="Heading2">
    <w:name w:val="Heading 2"/>
    <w:basedOn w:val="Normal"/>
    <w:next w:val="Normal"/>
    <w:qFormat/>
    <w:pPr>
      <w:keepNext w:val="true"/>
      <w:keepLines/>
      <w:numPr>
        <w:ilvl w:val="0"/>
        <w:numId w:val="0"/>
      </w:numPr>
      <w:spacing w:before="400" w:after="360"/>
      <w:outlineLvl w:val="1"/>
    </w:pPr>
    <w:rPr>
      <w:rFonts w:ascii="Arial" w:hAnsi="Arial" w:eastAsia="Arial" w:cs="DejaVu Sans"/>
      <w:b/>
      <w:color w:val="002A5C"/>
      <w:sz w:val="28"/>
      <w:szCs w:val="26"/>
    </w:rPr>
  </w:style>
  <w:style w:type="paragraph" w:styleId="Heading3">
    <w:name w:val="Heading 3"/>
    <w:basedOn w:val="Normal"/>
    <w:next w:val="Normal"/>
    <w:qFormat/>
    <w:pPr>
      <w:numPr>
        <w:ilvl w:val="0"/>
        <w:numId w:val="0"/>
      </w:numPr>
      <w:spacing w:before="280" w:after="120"/>
      <w:outlineLvl w:val="2"/>
    </w:pPr>
    <w:rPr>
      <w:rFonts w:cs="Arial"/>
      <w:b/>
      <w:sz w:val="24"/>
    </w:rPr>
  </w:style>
  <w:style w:type="paragraph" w:styleId="Heading4">
    <w:name w:val="Heading 4"/>
    <w:basedOn w:val="Normal"/>
    <w:next w:val="Normal"/>
    <w:qFormat/>
    <w:pPr>
      <w:keepNext w:val="true"/>
      <w:keepLines/>
      <w:numPr>
        <w:ilvl w:val="0"/>
        <w:numId w:val="0"/>
      </w:numPr>
      <w:spacing w:before="40" w:after="0"/>
      <w:outlineLvl w:val="3"/>
    </w:pPr>
    <w:rPr>
      <w:rFonts w:ascii="Arial" w:hAnsi="Arial" w:eastAsia="Arial" w:cs="DejaVu Sans"/>
      <w:i/>
      <w:iCs/>
      <w:color w:val="2F5496"/>
    </w:rPr>
  </w:style>
  <w:style w:type="character" w:styleId="DefaultParagraphFont">
    <w:name w:val="Default Paragraph Font"/>
    <w:qFormat/>
    <w:rPr/>
  </w:style>
  <w:style w:type="character" w:styleId="Normaltextrun">
    <w:name w:val="normaltextrun"/>
    <w:basedOn w:val="DefaultParagraphFont"/>
    <w:qFormat/>
    <w:rPr/>
  </w:style>
  <w:style w:type="character" w:styleId="Eop">
    <w:name w:val="eop"/>
    <w:basedOn w:val="DefaultParagraphFont"/>
    <w:qFormat/>
    <w:rPr/>
  </w:style>
  <w:style w:type="character" w:styleId="Heading1Char">
    <w:name w:val="Heading 1 Char"/>
    <w:basedOn w:val="DefaultParagraphFont"/>
    <w:qFormat/>
    <w:rPr>
      <w:rFonts w:ascii="Arial" w:hAnsi="Arial" w:eastAsia="Arial" w:cs="DejaVu Sans"/>
      <w:b/>
      <w:color w:val="002A5C"/>
      <w:sz w:val="28"/>
      <w:szCs w:val="32"/>
    </w:rPr>
  </w:style>
  <w:style w:type="character" w:styleId="Heading2Char">
    <w:name w:val="Heading 2 Char"/>
    <w:basedOn w:val="DefaultParagraphFont"/>
    <w:qFormat/>
    <w:rPr>
      <w:rFonts w:ascii="Arial" w:hAnsi="Arial" w:eastAsia="Arial" w:cs="DejaVu Sans"/>
      <w:b/>
      <w:color w:val="002A5C"/>
      <w:sz w:val="28"/>
      <w:szCs w:val="26"/>
    </w:rPr>
  </w:style>
  <w:style w:type="character" w:styleId="InternetLink">
    <w:name w:val="Hyperlink"/>
    <w:basedOn w:val="DefaultParagraphFont"/>
    <w:rPr>
      <w:color w:val="0563C1"/>
      <w:u w:val="single"/>
    </w:rPr>
  </w:style>
  <w:style w:type="character" w:styleId="Heading3Char">
    <w:name w:val="Heading 3 Char"/>
    <w:basedOn w:val="DefaultParagraphFont"/>
    <w:qFormat/>
    <w:rPr>
      <w:rFonts w:cs="Arial"/>
      <w:b/>
      <w:sz w:val="24"/>
    </w:rPr>
  </w:style>
  <w:style w:type="character" w:styleId="HeaderChar">
    <w:name w:val="Header Char"/>
    <w:basedOn w:val="DefaultParagraphFont"/>
    <w:link w:val="Header"/>
    <w:qFormat/>
    <w:rPr/>
  </w:style>
  <w:style w:type="character" w:styleId="FooterChar">
    <w:name w:val="Footer Char"/>
    <w:basedOn w:val="DefaultParagraphFont"/>
    <w:link w:val="Footer"/>
    <w:qFormat/>
    <w:rPr/>
  </w:style>
  <w:style w:type="character" w:styleId="TitleChar">
    <w:name w:val="Title Char"/>
    <w:basedOn w:val="DefaultParagraphFont"/>
    <w:link w:val="Title"/>
    <w:qFormat/>
    <w:rPr>
      <w:rFonts w:ascii="Arial" w:hAnsi="Arial" w:eastAsia="Arial" w:cs="DejaVu Sans"/>
      <w:b/>
      <w:color w:val="002A5C"/>
      <w:spacing w:val="-10"/>
      <w:kern w:val="2"/>
      <w:sz w:val="40"/>
      <w:szCs w:val="56"/>
    </w:rPr>
  </w:style>
  <w:style w:type="character" w:styleId="UnresolvedMention1">
    <w:name w:val="Unresolved Mention1"/>
    <w:basedOn w:val="DefaultParagraphFont"/>
    <w:qFormat/>
    <w:rPr>
      <w:color w:val="605E5C"/>
      <w:shd w:fill="E1DFDD" w:val="clear"/>
    </w:rPr>
  </w:style>
  <w:style w:type="character" w:styleId="BalloonTextChar">
    <w:name w:val="Balloon Text Char"/>
    <w:basedOn w:val="DefaultParagraphFont"/>
    <w:qFormat/>
    <w:rPr>
      <w:rFonts w:ascii="Times New Roman" w:hAnsi="Times New Roman" w:cs="Times New Roman"/>
      <w:sz w:val="18"/>
      <w:szCs w:val="18"/>
      <w:lang w:eastAsia="ja-JP"/>
    </w:rPr>
  </w:style>
  <w:style w:type="character" w:styleId="SubtitleChar">
    <w:name w:val="Subtitle Char"/>
    <w:basedOn w:val="DefaultParagraphFont"/>
    <w:link w:val="Subtitle"/>
    <w:qFormat/>
    <w:rPr>
      <w:rFonts w:eastAsia="Arial"/>
      <w:color w:val="002A5C"/>
      <w:spacing w:val="15"/>
      <w:sz w:val="32"/>
    </w:rPr>
  </w:style>
  <w:style w:type="character" w:styleId="SubtleReference">
    <w:name w:val="Subtle Reference"/>
    <w:basedOn w:val="DefaultParagraphFont"/>
    <w:qFormat/>
    <w:rPr>
      <w:smallCaps/>
      <w:color w:val="5A5A5A"/>
    </w:rPr>
  </w:style>
  <w:style w:type="character" w:styleId="Heading4Char">
    <w:name w:val="Heading 4 Char"/>
    <w:basedOn w:val="DefaultParagraphFont"/>
    <w:qFormat/>
    <w:rPr>
      <w:rFonts w:ascii="Arial" w:hAnsi="Arial" w:eastAsia="Arial" w:cs="DejaVu Sans"/>
      <w:i/>
      <w:iCs/>
      <w:color w:val="2F5496"/>
    </w:rPr>
  </w:style>
  <w:style w:type="character" w:styleId="SubtleEmphasis">
    <w:name w:val="Subtle Emphasis"/>
    <w:basedOn w:val="DefaultParagraphFont"/>
    <w:qFormat/>
    <w:rPr>
      <w:rFonts w:ascii="Arial" w:hAnsi="Arial"/>
      <w:i/>
      <w:iCs/>
      <w:color w:val="404040"/>
    </w:rPr>
  </w:style>
  <w:style w:type="character" w:styleId="Pagenumber">
    <w:name w:val="page number"/>
    <w:basedOn w:val="DefaultParagraphFont"/>
    <w:qFormat/>
    <w:rPr/>
  </w:style>
  <w:style w:type="character" w:styleId="PlaceholderText">
    <w:name w:val="Placeholder Text"/>
    <w:basedOn w:val="DefaultParagraphFont"/>
    <w:qFormat/>
    <w:rPr>
      <w:color w:val="808080"/>
    </w:rPr>
  </w:style>
  <w:style w:type="character" w:styleId="UnresolvedMention2">
    <w:name w:val="Unresolved Mention2"/>
    <w:basedOn w:val="DefaultParagraphFont"/>
    <w:qFormat/>
    <w:rPr>
      <w:color w:val="605E5C"/>
      <w:shd w:fill="E1DFDD" w:val="clear"/>
    </w:rPr>
  </w:style>
  <w:style w:type="character" w:styleId="VisitedInternetLink">
    <w:name w:val="FollowedHyperlink"/>
    <w:basedOn w:val="DefaultParagraphFont"/>
    <w:rPr>
      <w:color w:val="954F72"/>
      <w:u w:val="single"/>
    </w:rPr>
  </w:style>
  <w:style w:type="character" w:styleId="UnresolvedMention3">
    <w:name w:val="Unresolved Mention3"/>
    <w:basedOn w:val="DefaultParagraphFont"/>
    <w:qFormat/>
    <w:rPr>
      <w:color w:val="605E5C"/>
      <w:shd w:fill="E1DFDD" w:val="clear"/>
    </w:rPr>
  </w:style>
  <w:style w:type="character" w:styleId="UnresolvedMention4">
    <w:name w:val="Unresolved Mention4"/>
    <w:basedOn w:val="DefaultParagraphFont"/>
    <w:qFormat/>
    <w:rPr>
      <w:color w:val="605E5C"/>
      <w:shd w:fill="E1DFDD" w:val="clear"/>
    </w:rPr>
  </w:style>
  <w:style w:type="character" w:styleId="UnresolvedMention">
    <w:name w:val="Unresolved Mention"/>
    <w:basedOn w:val="DefaultParagraphFont"/>
    <w:qFormat/>
    <w:rPr>
      <w:color w:val="605E5C"/>
      <w:shd w:fill="E1DFDD" w:val="clear"/>
    </w:rPr>
  </w:style>
  <w:style w:type="character" w:styleId="HTMLPreformattedChar">
    <w:name w:val="HTML Preformatted Char"/>
    <w:basedOn w:val="DefaultParagraphFont"/>
    <w:qFormat/>
    <w:rPr>
      <w:rFonts w:ascii="Courier New" w:hAnsi="Courier New" w:eastAsia="Times New Roman" w:cs="Courier New"/>
      <w:sz w:val="20"/>
      <w:szCs w:val="20"/>
      <w:lang w:eastAsia="en-CA"/>
    </w:rPr>
  </w:style>
  <w:style w:type="character" w:styleId="NumberingSymbols">
    <w:name w:val="Numbering Symbols"/>
    <w:qFormat/>
    <w:rPr/>
  </w:style>
  <w:style w:type="character" w:styleId="StrongEmphasis">
    <w:name w:val="Strong"/>
    <w:qFormat/>
    <w:rPr>
      <w:b/>
      <w:bCs/>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Footer">
    <w:name w:val="Footer"/>
    <w:basedOn w:val="Normal"/>
    <w:pPr>
      <w:tabs>
        <w:tab w:val="clear" w:pos="720"/>
        <w:tab w:val="center" w:pos="4680" w:leader="none"/>
        <w:tab w:val="right" w:pos="9360" w:leader="none"/>
      </w:tabs>
      <w:spacing w:lineRule="auto" w:line="240" w:before="0" w:after="0"/>
    </w:pPr>
    <w:rPr/>
  </w:style>
  <w:style w:type="paragraph" w:styleId="Title">
    <w:name w:val="Title"/>
    <w:basedOn w:val="Heading1"/>
    <w:next w:val="Subtitle"/>
    <w:qFormat/>
    <w:pPr>
      <w:spacing w:lineRule="auto" w:line="240" w:before="240" w:after="80"/>
      <w:contextualSpacing/>
    </w:pPr>
    <w:rPr>
      <w:spacing w:val="-10"/>
      <w:kern w:val="2"/>
      <w:sz w:val="40"/>
      <w:szCs w:val="56"/>
    </w:rPr>
  </w:style>
  <w:style w:type="paragraph" w:styleId="Revision">
    <w:name w:val="Revision"/>
    <w:qFormat/>
    <w:pPr>
      <w:widowControl/>
      <w:suppressAutoHyphens w:val="true"/>
      <w:kinsoku w:val="true"/>
      <w:overflowPunct w:val="true"/>
      <w:autoSpaceDE w:val="true"/>
      <w:bidi w:val="0"/>
      <w:spacing w:before="0" w:after="0"/>
      <w:jc w:val="left"/>
    </w:pPr>
    <w:rPr>
      <w:rFonts w:ascii="Arial" w:hAnsi="Arial" w:eastAsia="Arial" w:cs="DejaVu Sans"/>
      <w:color w:val="auto"/>
      <w:kern w:val="0"/>
      <w:sz w:val="22"/>
      <w:szCs w:val="22"/>
      <w:lang w:val="en-CA" w:eastAsia="ja-JP" w:bidi="ar-SA"/>
    </w:rPr>
  </w:style>
  <w:style w:type="paragraph" w:styleId="BalloonText">
    <w:name w:val="Balloon Text"/>
    <w:basedOn w:val="Normal"/>
    <w:qFormat/>
    <w:pPr>
      <w:spacing w:lineRule="auto" w:line="240" w:before="0" w:after="0"/>
    </w:pPr>
    <w:rPr>
      <w:rFonts w:ascii="Times New Roman" w:hAnsi="Times New Roman" w:cs="Times New Roman"/>
      <w:sz w:val="18"/>
      <w:szCs w:val="18"/>
    </w:rPr>
  </w:style>
  <w:style w:type="paragraph" w:styleId="NoSpacing">
    <w:name w:val="No Spacing"/>
    <w:qFormat/>
    <w:pPr>
      <w:widowControl/>
      <w:suppressAutoHyphens w:val="true"/>
      <w:kinsoku w:val="true"/>
      <w:overflowPunct w:val="true"/>
      <w:autoSpaceDE w:val="true"/>
      <w:bidi w:val="0"/>
      <w:spacing w:before="0" w:after="0"/>
      <w:jc w:val="left"/>
    </w:pPr>
    <w:rPr>
      <w:rFonts w:ascii="Arial" w:hAnsi="Arial" w:eastAsia="Arial" w:cs="Arial"/>
      <w:color w:val="44546A"/>
      <w:kern w:val="0"/>
      <w:sz w:val="20"/>
      <w:szCs w:val="20"/>
      <w:lang w:val="en-CA" w:eastAsia="en-US" w:bidi="ar-SA"/>
    </w:rPr>
  </w:style>
  <w:style w:type="paragraph" w:styleId="Subtitle">
    <w:name w:val="Subtitle"/>
    <w:basedOn w:val="Normal"/>
    <w:next w:val="Normal"/>
    <w:qFormat/>
    <w:pPr>
      <w:spacing w:lineRule="auto" w:line="240"/>
    </w:pPr>
    <w:rPr>
      <w:rFonts w:eastAsia="Arial"/>
      <w:color w:val="002A5C"/>
      <w:spacing w:val="15"/>
      <w:sz w:val="32"/>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en-CA"/>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Quotations">
    <w:name w:val="Quotations"/>
    <w:basedOn w:val="Normal"/>
    <w:qFormat/>
    <w:pPr>
      <w:spacing w:before="0" w:after="283"/>
      <w:ind w:left="567" w:right="567" w:hanging="0"/>
    </w:pPr>
    <w:rPr/>
  </w:style>
  <w:style w:type="paragraph" w:styleId="TableHeading">
    <w:name w:val="Table Heading"/>
    <w:basedOn w:val="TableContents"/>
    <w:qFormat/>
    <w:pPr>
      <w:suppressLineNumbers/>
      <w:jc w:val="center"/>
    </w:pPr>
    <w:rPr>
      <w:b/>
      <w:bCs/>
    </w:rPr>
  </w:style>
  <w:style w:type="numbering" w:styleId="NoList">
    <w:name w:val="No List"/>
    <w:qFormat/>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eader2.xml" Type="http://schemas.openxmlformats.org/officeDocument/2006/relationships/header"/><Relationship Id="rId11" Target="footer1.xml" Type="http://schemas.openxmlformats.org/officeDocument/2006/relationships/footer"/><Relationship Id="rId12" Target="footer2.xml" Type="http://schemas.openxmlformats.org/officeDocument/2006/relationships/footer"/><Relationship Id="rId13" Target="numbering.xml" Type="http://schemas.openxmlformats.org/officeDocument/2006/relationships/numbering"/><Relationship Id="rId14" Target="fontTable.xml" Type="http://schemas.openxmlformats.org/officeDocument/2006/relationships/fontTable"/><Relationship Id="rId15" Target="settings.xml" Type="http://schemas.openxmlformats.org/officeDocument/2006/relationships/settings"/><Relationship Id="rId2" Target="https://q.utoronto.ca/courses/464507" TargetMode="External" Type="http://schemas.openxmlformats.org/officeDocument/2006/relationships/hyperlink"/><Relationship Id="rId3" Target="mailto:t.randrianarisoa@utoronto.ca" TargetMode="External" Type="http://schemas.openxmlformats.org/officeDocument/2006/relationships/hyperlink"/><Relationship Id="rId4" Target="http://www.cnachtsheim-text.csom.umn.edu/" TargetMode="External" Type="http://schemas.openxmlformats.org/officeDocument/2006/relationships/hyperlink"/><Relationship Id="rId5" Target="http://www.r-project.org/" TargetMode="External" Type="http://schemas.openxmlformats.org/officeDocument/2006/relationships/hyperlink"/><Relationship Id="rId6" Target="http://www.governingcouncil.utoronto.ca/policies/behaveac.htm" TargetMode="External" Type="http://schemas.openxmlformats.org/officeDocument/2006/relationships/hyperlink"/><Relationship Id="rId7" Target="mailto:ability.utsc@utoronto.ca" TargetMode="External" Type="http://schemas.openxmlformats.org/officeDocument/2006/relationships/hyperlink"/><Relationship Id="rId8" Target="https://piazza.com/utoronto.ca/fall2026/stac67/home" TargetMode="External" Type="http://schemas.openxmlformats.org/officeDocument/2006/relationships/hyperlink"/><Relationship Id="rId9" Target="header1.xml" Type="http://schemas.openxmlformats.org/officeDocument/2006/relationships/header"/></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Properties xmlns="http://schemas.openxmlformats.org/officeDocument/2006/extended-properties" xmlns:vt="http://schemas.openxmlformats.org/officeDocument/2006/docPropsVTypes">
  <Template>Normal.dotm</Template>
  <TotalTime>494</TotalTime>
  <Application>LibreOffice/7.5.8.2$Linux_X86_64 LibreOffice_project/f718d63693263970429a68f568db6046aaa9df01</Application>
  <AppVersion>15.0000</AppVersion>
  <Pages>8</Pages>
  <Words>2558</Words>
  <Characters>14086</Characters>
  <CharactersWithSpaces>16494</CharactersWithSpaces>
  <Paragraphs>174</Paragraphs>
  <Company>Department of ABC</Compan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2022-08-10T17:35:00Z</dcterms:created>
  <dc:creator>STAC67H3 F Syllabus – Valid as of</dc:creator>
  <dc:language>en-CA</dc:language>
  <cp:lastModifiedBy>System</cp:lastModifiedBy>
  <cp:lastPrinted>2022-05-09T15:52:00Z</cp:lastPrinted>
  <dcterms:modified xsi:type="dcterms:W3CDTF">2026-05-08T18:22:31Z</dcterms:modified>
  <cp:revision>165</cp:revision>
  <dc:subject>Fall 2022 syllabus for ABC101H1 F</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0x010100CCC006C55753BC43A1A9B3877784A938</vt:lpwstr>
  </property>
  <property fmtid="{D5CDD505-2E9C-101B-9397-08002B2CF9AE}" pid="3" name="MediaServiceImageTags">
    <vt:lpwstr/>
  </property>
</Properties>
</file>